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813"/>
      </w:tblGrid>
      <w:tr w:rsidR="002645BE" w:rsidRPr="00D2056F" w14:paraId="1AD00608" w14:textId="77777777" w:rsidTr="002645BE">
        <w:trPr>
          <w:trHeight w:val="1132"/>
        </w:trPr>
        <w:tc>
          <w:tcPr>
            <w:tcW w:w="11199" w:type="dxa"/>
            <w:gridSpan w:val="2"/>
            <w:shd w:val="clear" w:color="auto" w:fill="001E5A"/>
          </w:tcPr>
          <w:p w14:paraId="4A60EAC3" w14:textId="77777777" w:rsidR="002645BE" w:rsidRDefault="00841AC5" w:rsidP="00B046D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="00567D92">
              <w:rPr>
                <w:rFonts w:asciiTheme="minorHAnsi" w:eastAsiaTheme="minorHAnsi" w:hAnsiTheme="minorHAnsi" w:cs="Shruti"/>
                <w:b/>
                <w:noProof/>
                <w:sz w:val="32"/>
                <w:szCs w:val="22"/>
                <w:lang w:val="en-GB" w:eastAsia="en-GB"/>
              </w:rPr>
              <w:drawing>
                <wp:inline distT="0" distB="0" distL="0" distR="0" wp14:anchorId="29D54F34" wp14:editId="774C4179">
                  <wp:extent cx="1459523" cy="624599"/>
                  <wp:effectExtent l="0" t="0" r="7620" b="4445"/>
                  <wp:docPr id="3" name="Picture 3" descr="C:\Users\wilsonj\AppData\Local\Microsoft\Windows\Temporary Internet Files\Content.Outlook\KO37RZHB\STB_logo_UPDATED_strapline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lsonj\AppData\Local\Microsoft\Windows\Temporary Internet Files\Content.Outlook\KO37RZHB\STB_logo_UPDATED_strapline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66" cy="62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887486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Treasury</w:t>
            </w:r>
            <w:r w:rsidR="00444959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</w:t>
            </w:r>
            <w:r w:rsidR="00D128D8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Analyst </w:t>
            </w:r>
          </w:p>
          <w:p w14:paraId="5D18C87B" w14:textId="6C15D14C" w:rsidR="009916E8" w:rsidRPr="00D2056F" w:rsidRDefault="009916E8" w:rsidP="00B046D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</w:pPr>
          </w:p>
        </w:tc>
      </w:tr>
      <w:tr w:rsidR="002645BE" w:rsidRPr="00D2056F" w14:paraId="54C42290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1A960AB5" w14:textId="5B654B67" w:rsidR="002645BE" w:rsidRPr="00C96197" w:rsidRDefault="002645BE" w:rsidP="00B046DE">
            <w:pPr>
              <w:spacing w:before="240"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 Title</w:t>
            </w:r>
            <w:r w:rsidRPr="00C96197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6A2C73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Treasury</w:t>
            </w:r>
            <w:r w:rsidR="00444959" w:rsidRPr="00444959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Analyst</w:t>
            </w:r>
          </w:p>
          <w:p w14:paraId="0925886A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Business</w:t>
            </w:r>
            <w:r w:rsidR="000E1675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D128D8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Secure Trust Bank</w:t>
            </w:r>
          </w:p>
          <w:p w14:paraId="7FEF08FF" w14:textId="5C6EDB44" w:rsidR="002645BE" w:rsidRPr="006F585F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Grade Level</w:t>
            </w:r>
            <w:r w:rsidR="004B0050" w:rsidRPr="00C96197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:</w:t>
            </w:r>
            <w:r w:rsidR="002070CF" w:rsidRPr="00C96197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="00490FD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Level </w:t>
            </w:r>
            <w:r w:rsidR="006F585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4</w:t>
            </w:r>
            <w:r w:rsidR="00490FD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– </w:t>
            </w:r>
            <w:r w:rsidR="00490FD4" w:rsidRPr="006F585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Technical Expert</w:t>
            </w:r>
            <w:r w:rsidR="00D128D8" w:rsidRPr="006F585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="00490FD4" w:rsidRPr="006F585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1</w:t>
            </w:r>
          </w:p>
          <w:p w14:paraId="10390B36" w14:textId="3B99559E" w:rsidR="002645BE" w:rsidRPr="006F585F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6F585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6F585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6F585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6F585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B12698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Head of Liquidity and Funding</w:t>
            </w:r>
          </w:p>
          <w:p w14:paraId="17CDFF34" w14:textId="1C0B3D42" w:rsidR="002645BE" w:rsidRPr="00C96197" w:rsidRDefault="002645BE" w:rsidP="00B046DE">
            <w:pPr>
              <w:spacing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  <w:r w:rsidRPr="006F585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="00841AC5" w:rsidRPr="006F585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D128D8" w:rsidRPr="006F585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Solihull</w:t>
            </w:r>
          </w:p>
        </w:tc>
      </w:tr>
      <w:tr w:rsidR="002645BE" w:rsidRPr="00D128D8" w14:paraId="2A8AB967" w14:textId="77777777" w:rsidTr="00B046DE">
        <w:trPr>
          <w:trHeight w:val="1344"/>
        </w:trPr>
        <w:tc>
          <w:tcPr>
            <w:tcW w:w="1386" w:type="dxa"/>
          </w:tcPr>
          <w:p w14:paraId="71B80F87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3D38ACE6" w14:textId="77777777" w:rsidR="002645BE" w:rsidRPr="00C96197" w:rsidRDefault="000A063A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424DBAF6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813" w:type="dxa"/>
          </w:tcPr>
          <w:p w14:paraId="451314B1" w14:textId="4A6D3D4C" w:rsidR="00D128D8" w:rsidRDefault="00057DD9" w:rsidP="00B046DE">
            <w:pPr>
              <w:spacing w:before="240" w:after="1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128D8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080DAC63" w14:textId="4ADB22F4" w:rsidR="000E1675" w:rsidRDefault="001074F0" w:rsidP="00204167">
            <w:pPr>
              <w:spacing w:after="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As a key part of the </w:t>
            </w:r>
            <w:r w:rsidR="00D128D8" w:rsidRPr="00D128D8">
              <w:rPr>
                <w:rFonts w:asciiTheme="minorHAnsi" w:hAnsiTheme="minorHAnsi" w:cs="Arial"/>
                <w:sz w:val="22"/>
                <w:szCs w:val="22"/>
              </w:rPr>
              <w:t>Treasury function</w:t>
            </w:r>
            <w:r>
              <w:rPr>
                <w:rFonts w:asciiTheme="minorHAnsi" w:hAnsiTheme="minorHAnsi" w:cs="Arial"/>
                <w:sz w:val="22"/>
                <w:szCs w:val="22"/>
              </w:rPr>
              <w:t>, the</w:t>
            </w:r>
            <w:r w:rsidR="00490F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A2C73">
              <w:rPr>
                <w:rFonts w:asciiTheme="minorHAnsi" w:hAnsiTheme="minorHAnsi" w:cs="Arial"/>
                <w:sz w:val="22"/>
                <w:szCs w:val="22"/>
              </w:rPr>
              <w:t>Treasury</w:t>
            </w:r>
            <w:r w:rsidR="00490F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analyst role covers a wide range of </w:t>
            </w:r>
            <w:r w:rsidR="00B11EE7">
              <w:rPr>
                <w:rFonts w:asciiTheme="minorHAnsi" w:hAnsiTheme="minorHAnsi" w:cs="Arial"/>
                <w:sz w:val="22"/>
                <w:szCs w:val="22"/>
              </w:rPr>
              <w:t xml:space="preserve">Treasury </w:t>
            </w:r>
            <w:r>
              <w:rPr>
                <w:rFonts w:asciiTheme="minorHAnsi" w:hAnsiTheme="minorHAnsi" w:cs="Arial"/>
                <w:sz w:val="22"/>
                <w:szCs w:val="22"/>
              </w:rPr>
              <w:t>activities</w:t>
            </w:r>
            <w:r w:rsidR="00B11EE7">
              <w:rPr>
                <w:rFonts w:asciiTheme="minorHAnsi" w:hAnsiTheme="minorHAnsi" w:cs="Arial"/>
                <w:sz w:val="22"/>
                <w:szCs w:val="22"/>
              </w:rPr>
              <w:t xml:space="preserve"> across Liquidity and Funding, Balance Sheet Management and Collateral management</w:t>
            </w:r>
            <w:r w:rsidR="00D128D8" w:rsidRPr="00D128D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96867">
              <w:rPr>
                <w:rFonts w:asciiTheme="minorHAnsi" w:hAnsiTheme="minorHAnsi" w:cs="Arial"/>
                <w:sz w:val="22"/>
                <w:szCs w:val="22"/>
              </w:rPr>
              <w:t>with close engagement with colleagues across the business and significant access to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Senior M</w:t>
            </w:r>
            <w:r w:rsidR="00D128D8" w:rsidRPr="00D128D8">
              <w:rPr>
                <w:rFonts w:asciiTheme="minorHAnsi" w:hAnsiTheme="minorHAnsi" w:cs="Arial"/>
                <w:sz w:val="22"/>
                <w:szCs w:val="22"/>
              </w:rPr>
              <w:t>anagement</w:t>
            </w:r>
            <w:r w:rsidR="00141F9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7D6811D" w14:textId="77777777" w:rsidR="00765C0E" w:rsidRDefault="00895628" w:rsidP="00B046DE">
            <w:pPr>
              <w:spacing w:before="240" w:after="12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D128D8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D128D8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D128D8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es</w:t>
            </w:r>
          </w:p>
          <w:p w14:paraId="26F01A0B" w14:textId="647C46C8" w:rsidR="00D128D8" w:rsidRPr="005B7F24" w:rsidRDefault="001074F0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Analys</w:t>
            </w:r>
            <w:r w:rsidR="00704855">
              <w:rPr>
                <w:rFonts w:asciiTheme="minorHAnsi" w:hAnsiTheme="minorHAnsi" w:cs="Arial"/>
                <w:color w:val="222222"/>
                <w:sz w:val="22"/>
                <w:szCs w:val="22"/>
              </w:rPr>
              <w:t>e, interpret</w:t>
            </w:r>
            <w:r w:rsidR="003D7DA1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, </w:t>
            </w:r>
            <w:r w:rsidR="00704855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evaluate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and report</w:t>
            </w:r>
            <w:r w:rsidR="00FF0FB4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o</w:t>
            </w:r>
            <w:r w:rsidR="00FF0FB4">
              <w:rPr>
                <w:rFonts w:asciiTheme="minorHAnsi" w:hAnsiTheme="minorHAnsi" w:cs="Arial"/>
                <w:color w:val="222222"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the Bank’s </w:t>
            </w:r>
            <w:r w:rsidR="00D128D8" w:rsidRPr="00D128D8">
              <w:rPr>
                <w:rFonts w:asciiTheme="minorHAnsi" w:hAnsiTheme="minorHAnsi" w:cs="Arial"/>
                <w:color w:val="222222"/>
                <w:sz w:val="22"/>
                <w:szCs w:val="22"/>
              </w:rPr>
              <w:t>daily liquidity</w:t>
            </w:r>
            <w:r w:rsidR="0041455E">
              <w:rPr>
                <w:rFonts w:asciiTheme="minorHAnsi" w:hAnsiTheme="minorHAnsi" w:cs="Arial"/>
                <w:color w:val="222222"/>
                <w:sz w:val="22"/>
                <w:szCs w:val="22"/>
              </w:rPr>
              <w:t>,</w:t>
            </w:r>
            <w:r w:rsidR="00141F9F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funding</w:t>
            </w:r>
            <w:r w:rsidR="0041455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and interest rate risk</w:t>
            </w:r>
            <w:r w:rsidR="00141F9F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position</w:t>
            </w:r>
            <w:r w:rsidR="0041455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using the Group’s ALM system</w:t>
            </w:r>
            <w:r w:rsidR="002F10C7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</w:p>
          <w:p w14:paraId="7AAFAE4D" w14:textId="64218B35" w:rsidR="005B7F24" w:rsidRPr="008D47C5" w:rsidRDefault="003D7DA1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M</w:t>
            </w:r>
            <w:r w:rsidR="00F25CB2">
              <w:rPr>
                <w:rFonts w:asciiTheme="minorHAnsi" w:hAnsiTheme="minorHAnsi" w:cs="Arial"/>
                <w:color w:val="222222"/>
                <w:sz w:val="22"/>
                <w:szCs w:val="22"/>
              </w:rPr>
              <w:t>odelling of forecast risk metrics and cost of funds</w:t>
            </w:r>
            <w:r w:rsidR="001F1B07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that inform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the Group’s planning, budgeting and forecasting requirements</w:t>
            </w:r>
            <w:r w:rsidR="001F1B07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</w:p>
          <w:p w14:paraId="546490C0" w14:textId="6A0975F5" w:rsidR="00570195" w:rsidRPr="00887486" w:rsidRDefault="00570195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Enhance/automate existing processes to provide efficiencies within BAU reporting</w:t>
            </w:r>
          </w:p>
          <w:p w14:paraId="09FB0697" w14:textId="561A078C" w:rsidR="00A078CA" w:rsidRPr="006F585F" w:rsidRDefault="00A078CA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 w:rsidRPr="006F585F">
              <w:rPr>
                <w:rFonts w:asciiTheme="minorHAnsi" w:hAnsiTheme="minorHAnsi" w:cs="Arial"/>
                <w:color w:val="222222"/>
                <w:sz w:val="22"/>
                <w:szCs w:val="22"/>
              </w:rPr>
              <w:t>Attend</w:t>
            </w:r>
            <w:r w:rsidR="003D7DA1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Pr="006F585F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and </w:t>
            </w:r>
            <w:r w:rsidR="003D7DA1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prepare </w:t>
            </w:r>
            <w:r w:rsidRPr="006F585F">
              <w:rPr>
                <w:rFonts w:asciiTheme="minorHAnsi" w:hAnsiTheme="minorHAnsi" w:cs="Arial"/>
                <w:color w:val="222222"/>
                <w:sz w:val="22"/>
                <w:szCs w:val="22"/>
              </w:rPr>
              <w:t>input</w:t>
            </w:r>
            <w:r w:rsidR="003D7DA1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and analysis that support the decisions of the</w:t>
            </w:r>
            <w:r w:rsidRPr="006F585F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Liquidity Working Group, a </w:t>
            </w:r>
            <w:r w:rsidR="005B5E35">
              <w:rPr>
                <w:rFonts w:asciiTheme="minorHAnsi" w:hAnsiTheme="minorHAnsi" w:cs="Arial"/>
                <w:color w:val="222222"/>
                <w:sz w:val="22"/>
                <w:szCs w:val="22"/>
              </w:rPr>
              <w:t>working group</w:t>
            </w:r>
            <w:r w:rsidRPr="006F585F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of ALCO</w:t>
            </w:r>
            <w:r w:rsidR="002F10C7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</w:p>
          <w:p w14:paraId="4F721C49" w14:textId="61F4646D" w:rsidR="00141F9F" w:rsidRPr="006F585F" w:rsidRDefault="0084191F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P</w:t>
            </w:r>
            <w:r w:rsidR="006A2C73" w:rsidRPr="006F585F">
              <w:rPr>
                <w:rFonts w:asciiTheme="minorHAnsi" w:hAnsiTheme="minorHAnsi" w:cs="Arial"/>
                <w:color w:val="222222"/>
                <w:sz w:val="22"/>
                <w:szCs w:val="22"/>
              </w:rPr>
              <w:t>reparation of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="006A2C73" w:rsidRPr="006F585F">
              <w:rPr>
                <w:rFonts w:asciiTheme="minorHAnsi" w:hAnsiTheme="minorHAnsi" w:cs="Arial"/>
                <w:color w:val="222222"/>
                <w:sz w:val="22"/>
                <w:szCs w:val="22"/>
              </w:rPr>
              <w:t>regulatory report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ing</w:t>
            </w:r>
            <w:r w:rsidR="006A2C73" w:rsidRPr="006F585F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and submissions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that fall under Treasury’s responsibility</w:t>
            </w:r>
            <w:r w:rsidR="002F10C7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</w:p>
          <w:p w14:paraId="67B403FE" w14:textId="4EFD2871" w:rsidR="001074F0" w:rsidRPr="006F585F" w:rsidRDefault="001F1B07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Produce and provide analysis on the outputs from</w:t>
            </w:r>
            <w:r w:rsidR="001074F0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the Bank’s key stress testing </w:t>
            </w:r>
            <w:r w:rsidR="00EB64AA">
              <w:rPr>
                <w:rFonts w:asciiTheme="minorHAnsi" w:hAnsiTheme="minorHAnsi" w:cs="Arial"/>
                <w:color w:val="222222"/>
                <w:sz w:val="22"/>
                <w:szCs w:val="22"/>
              </w:rPr>
              <w:t>activities.</w:t>
            </w:r>
          </w:p>
          <w:p w14:paraId="000A2190" w14:textId="4D6AD903" w:rsidR="00141F9F" w:rsidRDefault="006A2C73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Play a key role in gathering information from front line business areas and Finance to manage and settle daily cash positions</w:t>
            </w:r>
            <w:r w:rsidR="0084191F">
              <w:rPr>
                <w:rFonts w:asciiTheme="minorHAnsi" w:hAnsiTheme="minorHAnsi" w:cs="Arial"/>
                <w:sz w:val="22"/>
                <w:szCs w:val="22"/>
              </w:rPr>
              <w:t xml:space="preserve"> and to understand the impacts of new lending on the liquidity and interest rate metrics</w:t>
            </w:r>
            <w:r w:rsidR="002F10C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1A77CF14" w14:textId="7593D63A" w:rsidR="0084191F" w:rsidRDefault="0084191F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Providing analysis of the collateral portfolio supporting </w:t>
            </w:r>
            <w:r w:rsidR="005B5E35">
              <w:rPr>
                <w:rFonts w:asciiTheme="minorHAnsi" w:hAnsiTheme="minorHAnsi" w:cs="Arial"/>
                <w:sz w:val="22"/>
                <w:szCs w:val="22"/>
              </w:rPr>
              <w:t>central Bank funding facilities</w:t>
            </w:r>
            <w:r w:rsidR="002F10C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3F97F56" w14:textId="09B07C6A" w:rsidR="005B7F24" w:rsidRDefault="005B7F24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Assisting</w:t>
            </w:r>
            <w:r w:rsidR="00950249">
              <w:rPr>
                <w:rFonts w:asciiTheme="minorHAnsi" w:hAnsiTheme="minorHAnsi" w:cs="Arial"/>
                <w:sz w:val="22"/>
                <w:szCs w:val="22"/>
              </w:rPr>
              <w:t xml:space="preserve"> senior management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with the annual ILAAP, ICAAP and Recovery Planning</w:t>
            </w:r>
            <w:r w:rsidR="008722CD">
              <w:rPr>
                <w:rFonts w:asciiTheme="minorHAnsi" w:hAnsiTheme="minorHAnsi" w:cs="Arial"/>
                <w:sz w:val="22"/>
                <w:szCs w:val="22"/>
              </w:rPr>
              <w:t xml:space="preserve"> activities.</w:t>
            </w:r>
          </w:p>
          <w:p w14:paraId="06078533" w14:textId="5958AD61" w:rsidR="005B7F24" w:rsidRDefault="005B7F24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B</w:t>
            </w:r>
            <w:r w:rsidRPr="005B7F24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uild close relationships 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with </w:t>
            </w:r>
            <w:r w:rsidRPr="005B7F24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internal and external </w:t>
            </w:r>
            <w:r w:rsidR="008722CD">
              <w:rPr>
                <w:rFonts w:asciiTheme="minorHAnsi" w:hAnsiTheme="minorHAnsi" w:cs="Arial"/>
                <w:sz w:val="22"/>
                <w:szCs w:val="22"/>
                <w:lang w:eastAsia="en-GB"/>
              </w:rPr>
              <w:t>T</w:t>
            </w:r>
            <w:r w:rsidRPr="005B7F24">
              <w:rPr>
                <w:rFonts w:asciiTheme="minorHAnsi" w:hAnsiTheme="minorHAnsi" w:cs="Arial"/>
                <w:sz w:val="22"/>
                <w:szCs w:val="22"/>
                <w:lang w:eastAsia="en-GB"/>
              </w:rPr>
              <w:t>reasury counterparties, middle and back</w:t>
            </w:r>
            <w:r w:rsidR="00B046DE">
              <w:rPr>
                <w:rFonts w:asciiTheme="minorHAnsi" w:hAnsiTheme="minorHAnsi" w:cs="Arial"/>
                <w:sz w:val="22"/>
                <w:szCs w:val="22"/>
                <w:lang w:eastAsia="en-GB"/>
              </w:rPr>
              <w:t>-</w:t>
            </w:r>
            <w:r w:rsidRPr="005B7F24">
              <w:rPr>
                <w:rFonts w:asciiTheme="minorHAnsi" w:hAnsiTheme="minorHAnsi" w:cs="Arial"/>
                <w:sz w:val="22"/>
                <w:szCs w:val="22"/>
                <w:lang w:eastAsia="en-GB"/>
              </w:rPr>
              <w:t>office functions</w:t>
            </w:r>
          </w:p>
          <w:p w14:paraId="504BF60E" w14:textId="57179FC3" w:rsidR="005B7F24" w:rsidRPr="005B7F24" w:rsidRDefault="005B7F24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W</w:t>
            </w:r>
            <w:r w:rsidRPr="005B7F24">
              <w:rPr>
                <w:rFonts w:asciiTheme="minorHAnsi" w:hAnsiTheme="minorHAnsi" w:cs="Arial"/>
                <w:sz w:val="22"/>
                <w:szCs w:val="22"/>
                <w:lang w:eastAsia="en-GB"/>
              </w:rPr>
              <w:t>ork closely and collaboratively with junior and senior colleagues both within Treasury and other STB functions</w:t>
            </w:r>
          </w:p>
          <w:p w14:paraId="2B3DF04E" w14:textId="77777777" w:rsidR="00D128D8" w:rsidRPr="00B046DE" w:rsidRDefault="00D128D8" w:rsidP="00B046DE">
            <w:pPr>
              <w:spacing w:before="240" w:after="12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046DE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Management Information and Risk Metrics</w:t>
            </w:r>
          </w:p>
          <w:p w14:paraId="5076C10C" w14:textId="77777777" w:rsidR="00DB7A20" w:rsidRDefault="001074F0" w:rsidP="00B046DE">
            <w:pPr>
              <w:numPr>
                <w:ilvl w:val="0"/>
                <w:numId w:val="5"/>
              </w:numPr>
              <w:spacing w:before="80" w:after="0" w:line="240" w:lineRule="auto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Work </w:t>
            </w:r>
            <w:r w:rsidR="001D3F2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with colleagues 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across the Bank’s </w:t>
            </w:r>
            <w:r w:rsidR="001D3F2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various 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business</w:t>
            </w:r>
            <w:r w:rsidR="001D3F2D">
              <w:rPr>
                <w:rFonts w:asciiTheme="minorHAnsi" w:hAnsiTheme="minorHAnsi" w:cs="Arial"/>
                <w:sz w:val="22"/>
                <w:szCs w:val="22"/>
                <w:lang w:eastAsia="en-GB"/>
              </w:rPr>
              <w:t>es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, </w:t>
            </w:r>
            <w:r w:rsidR="001D3F2D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finance and planning teams to enhance overall identification, measurement and reporting of treasury </w:t>
            </w:r>
            <w:r w:rsidR="00C96867">
              <w:rPr>
                <w:rFonts w:asciiTheme="minorHAnsi" w:hAnsiTheme="minorHAnsi" w:cs="Arial"/>
                <w:sz w:val="22"/>
                <w:szCs w:val="22"/>
                <w:lang w:eastAsia="en-GB"/>
              </w:rPr>
              <w:t>matters</w:t>
            </w:r>
            <w:r w:rsidR="001D3F2D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  <w:p w14:paraId="02389E9B" w14:textId="63C6D70F" w:rsidR="00D128D8" w:rsidRPr="00DB7A20" w:rsidRDefault="00DB7A20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Regular monitoring of the Bank’s risk metrics, providing insight and analysis.</w:t>
            </w:r>
          </w:p>
          <w:p w14:paraId="5129519C" w14:textId="49D490E5" w:rsidR="001D3F2D" w:rsidRPr="001D3F2D" w:rsidRDefault="001D3F2D" w:rsidP="00B046DE">
            <w:pPr>
              <w:numPr>
                <w:ilvl w:val="0"/>
                <w:numId w:val="5"/>
              </w:numPr>
              <w:spacing w:before="80" w:after="0" w:line="240" w:lineRule="auto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Document and develop </w:t>
            </w:r>
            <w:r w:rsidR="008722CD">
              <w:rPr>
                <w:rFonts w:asciiTheme="minorHAnsi" w:hAnsiTheme="minorHAnsi" w:cs="Arial"/>
                <w:sz w:val="22"/>
                <w:szCs w:val="22"/>
                <w:lang w:eastAsia="en-GB"/>
              </w:rPr>
              <w:t>T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reasury processes and procedures.</w:t>
            </w:r>
          </w:p>
          <w:p w14:paraId="37A02B87" w14:textId="54D62B1D" w:rsidR="00C96867" w:rsidRPr="00141F9F" w:rsidRDefault="00C96867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Provide key daily</w:t>
            </w:r>
            <w:r w:rsidR="00880FF7">
              <w:rPr>
                <w:rFonts w:asciiTheme="minorHAnsi" w:hAnsiTheme="minorHAnsi" w:cs="Arial"/>
                <w:color w:val="222222"/>
                <w:sz w:val="22"/>
                <w:szCs w:val="22"/>
              </w:rPr>
              <w:t>, weekly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and monthly management </w:t>
            </w:r>
            <w:r w:rsidR="002015B7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information including Monthly MI deck to the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Bank’s Asset and Liability Committee</w:t>
            </w:r>
            <w:r w:rsidR="002015B7">
              <w:rPr>
                <w:rFonts w:asciiTheme="minorHAnsi" w:hAnsiTheme="minorHAnsi" w:cs="Arial"/>
                <w:color w:val="222222"/>
                <w:sz w:val="22"/>
                <w:szCs w:val="22"/>
              </w:rPr>
              <w:t>, Bank of England collateral reporting, Risk reporting</w:t>
            </w:r>
            <w:r w:rsidR="002F10C7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</w:p>
          <w:p w14:paraId="16B2BC0D" w14:textId="4305E95B" w:rsidR="00141F9F" w:rsidRPr="00880FF7" w:rsidRDefault="00141F9F" w:rsidP="00B046DE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Assisting with production and reporting of Interest Rate Risk management information</w:t>
            </w:r>
            <w:r w:rsidR="002F10C7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</w:p>
          <w:p w14:paraId="61E508AD" w14:textId="5EE1D9BD" w:rsidR="005B5E35" w:rsidRPr="00570195" w:rsidRDefault="00880FF7" w:rsidP="00570195">
            <w:pPr>
              <w:pStyle w:val="BodyText"/>
              <w:numPr>
                <w:ilvl w:val="0"/>
                <w:numId w:val="5"/>
              </w:numPr>
              <w:spacing w:before="80"/>
              <w:ind w:left="357" w:hanging="357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Provide support and cover for information production and data extraction tasks within the Treasury area.</w:t>
            </w:r>
          </w:p>
        </w:tc>
      </w:tr>
      <w:tr w:rsidR="002645BE" w:rsidRPr="00D128D8" w14:paraId="5C75C570" w14:textId="77777777" w:rsidTr="00B046DE">
        <w:trPr>
          <w:trHeight w:val="1344"/>
        </w:trPr>
        <w:tc>
          <w:tcPr>
            <w:tcW w:w="1386" w:type="dxa"/>
          </w:tcPr>
          <w:p w14:paraId="26F7751E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7E54CB6C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160CF209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813" w:type="dxa"/>
          </w:tcPr>
          <w:p w14:paraId="74CB2D6E" w14:textId="4043ACA6" w:rsidR="002645BE" w:rsidRDefault="002645BE" w:rsidP="00B046DE">
            <w:pPr>
              <w:spacing w:before="240" w:after="12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D128D8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D128D8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  <w:r w:rsidR="003D7DA1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/competencies</w:t>
            </w:r>
          </w:p>
          <w:p w14:paraId="1C46BA21" w14:textId="0A0EFE43" w:rsidR="00D128D8" w:rsidRPr="00887486" w:rsidRDefault="00DA20BF" w:rsidP="00E81CB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Demonstrable ability to</w:t>
            </w:r>
            <w:r w:rsidR="006A2C7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anticipate </w:t>
            </w:r>
            <w:r w:rsidR="006A2C73">
              <w:rPr>
                <w:rFonts w:asciiTheme="minorHAnsi" w:hAnsiTheme="minorHAnsi" w:cs="Arial"/>
                <w:sz w:val="22"/>
                <w:szCs w:val="22"/>
              </w:rPr>
              <w:t>cash settlement /</w:t>
            </w:r>
            <w:r w:rsidR="00D128D8" w:rsidRPr="00D128D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96867">
              <w:rPr>
                <w:rFonts w:asciiTheme="minorHAnsi" w:hAnsiTheme="minorHAnsi" w:cs="Arial"/>
                <w:sz w:val="22"/>
                <w:szCs w:val="22"/>
              </w:rPr>
              <w:t xml:space="preserve">liquidity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forecasting </w:t>
            </w:r>
            <w:r w:rsidR="00C96867">
              <w:rPr>
                <w:rFonts w:asciiTheme="minorHAnsi" w:hAnsiTheme="minorHAnsi" w:cs="Arial"/>
                <w:sz w:val="22"/>
                <w:szCs w:val="22"/>
              </w:rPr>
              <w:t xml:space="preserve">and/or interest rate risk within a financial services </w:t>
            </w:r>
            <w:r w:rsidR="00C96867" w:rsidRPr="00887486">
              <w:rPr>
                <w:rFonts w:asciiTheme="minorHAnsi" w:hAnsiTheme="minorHAnsi" w:cs="Arial"/>
                <w:sz w:val="22"/>
                <w:szCs w:val="22"/>
              </w:rPr>
              <w:t xml:space="preserve">environment </w:t>
            </w:r>
          </w:p>
          <w:p w14:paraId="1B4F8A58" w14:textId="5C4E5B58" w:rsidR="00887486" w:rsidRPr="00887486" w:rsidRDefault="00DA20BF" w:rsidP="00E81CB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105690472"/>
            <w:r>
              <w:rPr>
                <w:rFonts w:asciiTheme="minorHAnsi" w:hAnsiTheme="minorHAnsi" w:cs="Arial"/>
                <w:sz w:val="22"/>
                <w:szCs w:val="22"/>
              </w:rPr>
              <w:t>Broad k</w:t>
            </w:r>
            <w:r w:rsidR="00887486" w:rsidRPr="00887486">
              <w:rPr>
                <w:rFonts w:asciiTheme="minorHAnsi" w:hAnsiTheme="minorHAnsi" w:cs="Arial"/>
                <w:sz w:val="22"/>
                <w:szCs w:val="22"/>
              </w:rPr>
              <w:t>nowledge of the activities within a Treasury function</w:t>
            </w:r>
          </w:p>
          <w:bookmarkEnd w:id="0"/>
          <w:p w14:paraId="5C07853E" w14:textId="1E0A9A99" w:rsidR="00DA20BF" w:rsidRPr="00DB64CB" w:rsidRDefault="00D128D8" w:rsidP="00E81CB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887486">
              <w:rPr>
                <w:rFonts w:asciiTheme="minorHAnsi" w:hAnsiTheme="minorHAnsi" w:cs="Arial"/>
                <w:sz w:val="22"/>
                <w:szCs w:val="22"/>
              </w:rPr>
              <w:t xml:space="preserve">Strong </w:t>
            </w:r>
            <w:r w:rsidR="00C25E4F">
              <w:rPr>
                <w:rFonts w:asciiTheme="minorHAnsi" w:hAnsiTheme="minorHAnsi" w:cs="Arial"/>
                <w:sz w:val="22"/>
                <w:szCs w:val="22"/>
              </w:rPr>
              <w:t xml:space="preserve">numeracy and </w:t>
            </w:r>
            <w:r w:rsidRPr="00887486">
              <w:rPr>
                <w:rFonts w:asciiTheme="minorHAnsi" w:hAnsiTheme="minorHAnsi" w:cs="Arial"/>
                <w:sz w:val="22"/>
                <w:szCs w:val="22"/>
              </w:rPr>
              <w:t>IT skills</w:t>
            </w:r>
            <w:r w:rsidR="00C96867" w:rsidRPr="00887486">
              <w:rPr>
                <w:rFonts w:asciiTheme="minorHAnsi" w:hAnsiTheme="minorHAnsi" w:cs="Arial"/>
                <w:sz w:val="22"/>
                <w:szCs w:val="22"/>
              </w:rPr>
              <w:t xml:space="preserve"> including MS Office</w:t>
            </w:r>
          </w:p>
          <w:p w14:paraId="05ECC9A6" w14:textId="77777777" w:rsidR="00704855" w:rsidRPr="00DB64CB" w:rsidRDefault="00DA20BF" w:rsidP="00E81CB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Ability to manage multiple stakeholders to successfully complete forecasting process</w:t>
            </w:r>
          </w:p>
          <w:p w14:paraId="11389E32" w14:textId="0E9B5A97" w:rsidR="00704855" w:rsidRPr="00DB64CB" w:rsidRDefault="00704855" w:rsidP="00E81CB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Confident communicator </w:t>
            </w:r>
            <w:r w:rsidR="00E81CB5">
              <w:rPr>
                <w:rFonts w:asciiTheme="minorHAnsi" w:hAnsiTheme="minorHAnsi" w:cs="Arial"/>
                <w:sz w:val="22"/>
                <w:szCs w:val="22"/>
              </w:rPr>
              <w:t>with strong verbal and written communication skills</w:t>
            </w:r>
          </w:p>
          <w:p w14:paraId="0EA412E5" w14:textId="3917AA9C" w:rsidR="00704855" w:rsidRPr="00DB64CB" w:rsidRDefault="00704855" w:rsidP="00E81CB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Strong analysis skills with the ability to apply concepts and principles in the interpretation </w:t>
            </w:r>
            <w:r w:rsidR="00C25E4F">
              <w:rPr>
                <w:rFonts w:asciiTheme="minorHAnsi" w:hAnsiTheme="minorHAnsi" w:cs="Arial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="Arial"/>
                <w:sz w:val="22"/>
                <w:szCs w:val="22"/>
              </w:rPr>
              <w:t>complex financial data</w:t>
            </w:r>
            <w:r w:rsidR="00C25E4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58290B06" w14:textId="77777777" w:rsidR="0016548E" w:rsidRPr="0016548E" w:rsidRDefault="00704855" w:rsidP="00E81CB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714268">
              <w:rPr>
                <w:rFonts w:asciiTheme="minorHAnsi" w:hAnsiTheme="minorHAnsi" w:cs="Arial"/>
                <w:sz w:val="22"/>
                <w:szCs w:val="22"/>
              </w:rPr>
              <w:t xml:space="preserve">High </w:t>
            </w:r>
            <w:r w:rsidRPr="00E81CB5">
              <w:rPr>
                <w:rFonts w:asciiTheme="minorHAnsi" w:hAnsiTheme="minorHAnsi" w:cs="Arial"/>
                <w:sz w:val="22"/>
                <w:szCs w:val="22"/>
              </w:rPr>
              <w:t>attention to detail and organisational and planning skills</w:t>
            </w:r>
          </w:p>
          <w:p w14:paraId="3F920565" w14:textId="50CCB42D" w:rsidR="00141F9F" w:rsidRPr="00E81CB5" w:rsidRDefault="00E81CB5" w:rsidP="00E81CB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Commercially minded and a</w:t>
            </w:r>
            <w:r w:rsidR="00714268" w:rsidRPr="00714268">
              <w:rPr>
                <w:rFonts w:asciiTheme="minorHAnsi" w:hAnsiTheme="minorHAnsi" w:cs="Arial"/>
                <w:sz w:val="22"/>
                <w:szCs w:val="22"/>
              </w:rPr>
              <w:t>daptable to a change</w:t>
            </w:r>
            <w:r w:rsidR="00714268" w:rsidRPr="00E81CB5">
              <w:rPr>
                <w:rFonts w:asciiTheme="minorHAnsi" w:hAnsiTheme="minorHAnsi" w:cs="Arial"/>
                <w:sz w:val="22"/>
                <w:szCs w:val="22"/>
              </w:rPr>
              <w:t xml:space="preserve"> environment</w:t>
            </w:r>
          </w:p>
          <w:p w14:paraId="5FE5C942" w14:textId="77777777" w:rsidR="002645BE" w:rsidRPr="00D128D8" w:rsidRDefault="00C375A2" w:rsidP="00B046DE">
            <w:pPr>
              <w:spacing w:before="240" w:after="12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D128D8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0D66D374" w14:textId="2D3A0A80" w:rsidR="00D128D8" w:rsidRDefault="00C7473D" w:rsidP="00E81CB5">
            <w:pPr>
              <w:numPr>
                <w:ilvl w:val="0"/>
                <w:numId w:val="2"/>
              </w:numPr>
              <w:spacing w:before="120" w:after="0" w:line="240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Part or fully-qualified in </w:t>
            </w:r>
            <w:r w:rsidR="00887486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D128D8" w:rsidRPr="00D128D8">
              <w:rPr>
                <w:rFonts w:asciiTheme="minorHAnsi" w:hAnsiTheme="minorHAnsi" w:cs="Arial"/>
                <w:sz w:val="22"/>
                <w:szCs w:val="22"/>
              </w:rPr>
              <w:t>reasur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D128D8" w:rsidRPr="00D128D8">
              <w:rPr>
                <w:rFonts w:asciiTheme="minorHAnsi" w:hAnsiTheme="minorHAnsi" w:cs="Arial"/>
                <w:sz w:val="22"/>
                <w:szCs w:val="22"/>
              </w:rPr>
              <w:t xml:space="preserve"> or </w:t>
            </w:r>
            <w:r w:rsidR="00887486">
              <w:rPr>
                <w:rFonts w:asciiTheme="minorHAnsi" w:hAnsiTheme="minorHAnsi" w:cs="Arial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sz w:val="22"/>
                <w:szCs w:val="22"/>
              </w:rPr>
              <w:t>inance discipline (e.g. ACT, CertBALM, CIMA)</w:t>
            </w:r>
            <w:r w:rsidR="006955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04855">
              <w:rPr>
                <w:rFonts w:asciiTheme="minorHAnsi" w:hAnsiTheme="minorHAnsi" w:cs="Arial"/>
                <w:sz w:val="22"/>
                <w:szCs w:val="22"/>
              </w:rPr>
              <w:t>or equivalent experience</w:t>
            </w:r>
            <w:r w:rsidR="009F0C47" w:rsidRPr="003809F4">
              <w:rPr>
                <w:rFonts w:asciiTheme="minorHAnsi" w:hAnsiTheme="minorHAnsi" w:cs="Arial"/>
                <w:sz w:val="22"/>
                <w:szCs w:val="22"/>
              </w:rPr>
              <w:t xml:space="preserve"> is an advantage</w:t>
            </w:r>
            <w:r w:rsidR="009F0C47">
              <w:rPr>
                <w:rFonts w:asciiTheme="minorHAnsi" w:hAnsiTheme="minorHAnsi" w:cs="Arial"/>
                <w:sz w:val="22"/>
                <w:szCs w:val="22"/>
              </w:rPr>
              <w:t xml:space="preserve"> but not essential</w:t>
            </w:r>
            <w:r w:rsidR="009F0C47" w:rsidRPr="003809F4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5D591DA" w14:textId="77777777" w:rsidR="00E81CB5" w:rsidRPr="003815D2" w:rsidRDefault="00E81CB5" w:rsidP="00B046DE">
            <w:pPr>
              <w:spacing w:before="240" w:after="12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Behavioural c</w:t>
            </w: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ompetencies</w:t>
            </w:r>
          </w:p>
          <w:p w14:paraId="2D492898" w14:textId="5EFFE2C2" w:rsidR="00E81CB5" w:rsidRDefault="00E81CB5" w:rsidP="00E81C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Risk Aware – We keep our cust</w:t>
            </w:r>
            <w:r w:rsidR="00E44031">
              <w:rPr>
                <w:rFonts w:cs="Arial"/>
                <w:sz w:val="22"/>
              </w:rPr>
              <w:t>o</w:t>
            </w:r>
            <w:r>
              <w:rPr>
                <w:rFonts w:cs="Arial"/>
                <w:sz w:val="22"/>
              </w:rPr>
              <w:t xml:space="preserve">mers and us safe and secure </w:t>
            </w:r>
          </w:p>
          <w:p w14:paraId="6AA7253C" w14:textId="77777777" w:rsidR="00E81CB5" w:rsidRDefault="00E81CB5" w:rsidP="00E81C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Customer focused – Our customers are at the heart of everything we do </w:t>
            </w:r>
          </w:p>
          <w:p w14:paraId="294C5CB8" w14:textId="77777777" w:rsidR="00E81CB5" w:rsidRPr="00587BDC" w:rsidRDefault="00E81CB5" w:rsidP="00E81C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sz w:val="22"/>
              </w:rPr>
            </w:pPr>
            <w:r w:rsidRPr="00587BDC">
              <w:rPr>
                <w:rFonts w:cs="Arial"/>
                <w:sz w:val="22"/>
              </w:rPr>
              <w:t>Ownership – Each of us take personal responsibility</w:t>
            </w:r>
          </w:p>
          <w:p w14:paraId="66ADC68D" w14:textId="7E735EB1" w:rsidR="00E81CB5" w:rsidRPr="00E44031" w:rsidRDefault="00E81CB5" w:rsidP="00E4403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sz w:val="22"/>
              </w:rPr>
            </w:pPr>
            <w:r w:rsidRPr="00E44031">
              <w:rPr>
                <w:rFonts w:cs="Arial"/>
                <w:sz w:val="22"/>
              </w:rPr>
              <w:t>Performance Driven – To be the most trusted specialist lender in the UK by each of us taking personal accountability for our performance</w:t>
            </w:r>
          </w:p>
          <w:p w14:paraId="33A6F533" w14:textId="77777777" w:rsidR="00E81CB5" w:rsidRDefault="00E81CB5" w:rsidP="00E81C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sz w:val="22"/>
              </w:rPr>
            </w:pPr>
            <w:r w:rsidRPr="004B3A8F">
              <w:rPr>
                <w:rFonts w:cs="Arial"/>
                <w:sz w:val="22"/>
              </w:rPr>
              <w:t xml:space="preserve">Team Oriented </w:t>
            </w:r>
            <w:r>
              <w:rPr>
                <w:rFonts w:cs="Arial"/>
                <w:sz w:val="22"/>
              </w:rPr>
              <w:t>– We achieve more when we work well together</w:t>
            </w:r>
          </w:p>
          <w:p w14:paraId="16205013" w14:textId="77777777" w:rsidR="000E1675" w:rsidRPr="00B046DE" w:rsidRDefault="00E81CB5" w:rsidP="00B046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Shruti"/>
                <w:sz w:val="22"/>
              </w:rPr>
            </w:pPr>
            <w:r>
              <w:rPr>
                <w:rFonts w:cs="Arial"/>
                <w:sz w:val="22"/>
              </w:rPr>
              <w:t xml:space="preserve">Future Orientated - </w:t>
            </w:r>
            <w:r w:rsidRPr="0018423F">
              <w:rPr>
                <w:rFonts w:cs="Arial"/>
                <w:sz w:val="22"/>
              </w:rPr>
              <w:t xml:space="preserve">Embracing change and implementing good ideas gives us </w:t>
            </w:r>
            <w:r>
              <w:rPr>
                <w:rFonts w:cs="Arial"/>
                <w:sz w:val="22"/>
              </w:rPr>
              <w:t>a</w:t>
            </w:r>
            <w:r w:rsidRPr="0018423F">
              <w:rPr>
                <w:rFonts w:cs="Arial"/>
                <w:sz w:val="22"/>
              </w:rPr>
              <w:t xml:space="preserve"> competitive edge</w:t>
            </w:r>
          </w:p>
          <w:p w14:paraId="3A43F75F" w14:textId="102FD58E" w:rsidR="00B046DE" w:rsidRPr="00B046DE" w:rsidRDefault="00B046DE" w:rsidP="00B046DE">
            <w:pPr>
              <w:jc w:val="both"/>
              <w:rPr>
                <w:rFonts w:cs="Shruti"/>
                <w:sz w:val="22"/>
              </w:rPr>
            </w:pPr>
          </w:p>
        </w:tc>
      </w:tr>
      <w:tr w:rsidR="00C37F2F" w:rsidRPr="00C37F2F" w14:paraId="604F99EC" w14:textId="77777777">
        <w:trPr>
          <w:trHeight w:val="444"/>
        </w:trPr>
        <w:tc>
          <w:tcPr>
            <w:tcW w:w="11199" w:type="dxa"/>
            <w:gridSpan w:val="2"/>
          </w:tcPr>
          <w:p w14:paraId="2D242FEE" w14:textId="77777777" w:rsidR="00C37F2F" w:rsidRPr="00C37F2F" w:rsidRDefault="00C37F2F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</w:pPr>
            <w:r w:rsidRPr="00C37F2F"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  <w:t xml:space="preserve">Date for </w:t>
            </w:r>
            <w:r w:rsidR="00000F6F"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  <w:t xml:space="preserve">next </w:t>
            </w:r>
            <w:r w:rsidRPr="00C37F2F"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  <w:t>annual review</w:t>
            </w:r>
            <w:r w:rsidR="00000F6F"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  <w:t xml:space="preserve"> of role profile</w:t>
            </w:r>
            <w:r w:rsidRPr="00C37F2F"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  <w:t>:</w:t>
            </w:r>
          </w:p>
        </w:tc>
      </w:tr>
    </w:tbl>
    <w:p w14:paraId="68D0D21E" w14:textId="77777777" w:rsidR="00895628" w:rsidRPr="00D2056F" w:rsidRDefault="00895628" w:rsidP="00895628">
      <w:pPr>
        <w:ind w:left="-1276"/>
        <w:rPr>
          <w:rFonts w:asciiTheme="minorHAnsi" w:hAnsiTheme="minorHAnsi" w:cs="Shruti"/>
        </w:rPr>
      </w:pPr>
    </w:p>
    <w:p w14:paraId="2E19AB81" w14:textId="77777777" w:rsidR="000A3866" w:rsidRPr="00D2056F" w:rsidRDefault="000A3866" w:rsidP="00F17483">
      <w:pPr>
        <w:rPr>
          <w:rFonts w:asciiTheme="minorHAnsi" w:hAnsiTheme="minorHAnsi" w:cs="Shruti"/>
        </w:rPr>
      </w:pPr>
    </w:p>
    <w:sectPr w:rsidR="000A3866" w:rsidRPr="00D2056F" w:rsidSect="002645BE">
      <w:footerReference w:type="even" r:id="rId12"/>
      <w:footerReference w:type="default" r:id="rId13"/>
      <w:footerReference w:type="first" r:id="rId14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B9C6" w14:textId="77777777" w:rsidR="005E1F94" w:rsidRDefault="005E1F94" w:rsidP="004D02B2">
      <w:pPr>
        <w:spacing w:after="0" w:line="240" w:lineRule="auto"/>
      </w:pPr>
      <w:r>
        <w:separator/>
      </w:r>
    </w:p>
  </w:endnote>
  <w:endnote w:type="continuationSeparator" w:id="0">
    <w:p w14:paraId="38EED99C" w14:textId="77777777" w:rsidR="005E1F94" w:rsidRDefault="005E1F94" w:rsidP="004D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F5BC" w14:textId="474EF260" w:rsidR="004D02B2" w:rsidRDefault="004D02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B534CD" wp14:editId="32B9EA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29424990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5DB4B" w14:textId="294AB479" w:rsidR="004D02B2" w:rsidRPr="004D02B2" w:rsidRDefault="004D02B2" w:rsidP="004D02B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D02B2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534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6AD5DB4B" w14:textId="294AB479" w:rsidR="004D02B2" w:rsidRPr="004D02B2" w:rsidRDefault="004D02B2" w:rsidP="004D02B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D02B2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952E" w14:textId="6122A5BC" w:rsidR="004D02B2" w:rsidRDefault="004D02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3D0168" wp14:editId="481E5A67">
              <wp:simplePos x="114300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757654609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15310" w14:textId="7C7C68D2" w:rsidR="004D02B2" w:rsidRPr="004D02B2" w:rsidRDefault="004D02B2" w:rsidP="004D02B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D02B2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01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3F215310" w14:textId="7C7C68D2" w:rsidR="004D02B2" w:rsidRPr="004D02B2" w:rsidRDefault="004D02B2" w:rsidP="004D02B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D02B2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71D1" w14:textId="5FDF98FB" w:rsidR="004D02B2" w:rsidRDefault="004D02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FCCFEB" wp14:editId="440767F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948660256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8DFBC" w14:textId="399BEF96" w:rsidR="004D02B2" w:rsidRPr="004D02B2" w:rsidRDefault="004D02B2" w:rsidP="004D02B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D02B2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CCF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10A8DFBC" w14:textId="399BEF96" w:rsidR="004D02B2" w:rsidRPr="004D02B2" w:rsidRDefault="004D02B2" w:rsidP="004D02B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D02B2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3C82B" w14:textId="77777777" w:rsidR="005E1F94" w:rsidRDefault="005E1F94" w:rsidP="004D02B2">
      <w:pPr>
        <w:spacing w:after="0" w:line="240" w:lineRule="auto"/>
      </w:pPr>
      <w:r>
        <w:separator/>
      </w:r>
    </w:p>
  </w:footnote>
  <w:footnote w:type="continuationSeparator" w:id="0">
    <w:p w14:paraId="27483C91" w14:textId="77777777" w:rsidR="005E1F94" w:rsidRDefault="005E1F94" w:rsidP="004D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1C33"/>
    <w:multiLevelType w:val="hybridMultilevel"/>
    <w:tmpl w:val="5F128D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63FEC"/>
    <w:multiLevelType w:val="hybridMultilevel"/>
    <w:tmpl w:val="EE48DB78"/>
    <w:lvl w:ilvl="0" w:tplc="24E008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B43FF"/>
    <w:multiLevelType w:val="hybridMultilevel"/>
    <w:tmpl w:val="86F6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A6054"/>
    <w:multiLevelType w:val="hybridMultilevel"/>
    <w:tmpl w:val="A6BAD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B77A26"/>
    <w:multiLevelType w:val="hybridMultilevel"/>
    <w:tmpl w:val="8E00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894302">
    <w:abstractNumId w:val="4"/>
  </w:num>
  <w:num w:numId="2" w16cid:durableId="506411255">
    <w:abstractNumId w:val="2"/>
  </w:num>
  <w:num w:numId="3" w16cid:durableId="190144661">
    <w:abstractNumId w:val="3"/>
  </w:num>
  <w:num w:numId="4" w16cid:durableId="43987314">
    <w:abstractNumId w:val="5"/>
  </w:num>
  <w:num w:numId="5" w16cid:durableId="2063941192">
    <w:abstractNumId w:val="1"/>
  </w:num>
  <w:num w:numId="6" w16cid:durableId="23389949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04E4F"/>
    <w:rsid w:val="00044216"/>
    <w:rsid w:val="00051A30"/>
    <w:rsid w:val="00051AE2"/>
    <w:rsid w:val="00057DD9"/>
    <w:rsid w:val="000A063A"/>
    <w:rsid w:val="000A2288"/>
    <w:rsid w:val="000A3866"/>
    <w:rsid w:val="000A5BB6"/>
    <w:rsid w:val="000B2AD5"/>
    <w:rsid w:val="000D4EE8"/>
    <w:rsid w:val="000E1675"/>
    <w:rsid w:val="000F1614"/>
    <w:rsid w:val="000F64F3"/>
    <w:rsid w:val="001074F0"/>
    <w:rsid w:val="00114FFD"/>
    <w:rsid w:val="001161A6"/>
    <w:rsid w:val="00122916"/>
    <w:rsid w:val="00141F9F"/>
    <w:rsid w:val="00147984"/>
    <w:rsid w:val="0016548E"/>
    <w:rsid w:val="00175D1B"/>
    <w:rsid w:val="00177D49"/>
    <w:rsid w:val="001870D9"/>
    <w:rsid w:val="001A1230"/>
    <w:rsid w:val="001B120C"/>
    <w:rsid w:val="001B23F7"/>
    <w:rsid w:val="001D3F2D"/>
    <w:rsid w:val="001E6B7D"/>
    <w:rsid w:val="001F1B07"/>
    <w:rsid w:val="001F448C"/>
    <w:rsid w:val="002015B7"/>
    <w:rsid w:val="00201A3C"/>
    <w:rsid w:val="00204167"/>
    <w:rsid w:val="002070CF"/>
    <w:rsid w:val="00242BEE"/>
    <w:rsid w:val="00246B72"/>
    <w:rsid w:val="00246C51"/>
    <w:rsid w:val="00250317"/>
    <w:rsid w:val="00250EFA"/>
    <w:rsid w:val="00250FCB"/>
    <w:rsid w:val="002645BE"/>
    <w:rsid w:val="002649C8"/>
    <w:rsid w:val="00284ECB"/>
    <w:rsid w:val="002F10C7"/>
    <w:rsid w:val="002F4DFF"/>
    <w:rsid w:val="00320865"/>
    <w:rsid w:val="00331D6A"/>
    <w:rsid w:val="00352DE3"/>
    <w:rsid w:val="00372CBD"/>
    <w:rsid w:val="00387916"/>
    <w:rsid w:val="003A387D"/>
    <w:rsid w:val="003D7DA1"/>
    <w:rsid w:val="003E677F"/>
    <w:rsid w:val="00403BAB"/>
    <w:rsid w:val="00410D7C"/>
    <w:rsid w:val="0041455E"/>
    <w:rsid w:val="0042497F"/>
    <w:rsid w:val="0043497B"/>
    <w:rsid w:val="00444959"/>
    <w:rsid w:val="0045059F"/>
    <w:rsid w:val="0046590B"/>
    <w:rsid w:val="00467150"/>
    <w:rsid w:val="00476F9E"/>
    <w:rsid w:val="00490AA1"/>
    <w:rsid w:val="00490FD4"/>
    <w:rsid w:val="0049575D"/>
    <w:rsid w:val="004B0050"/>
    <w:rsid w:val="004D02B2"/>
    <w:rsid w:val="00515D88"/>
    <w:rsid w:val="00517BAC"/>
    <w:rsid w:val="00522F64"/>
    <w:rsid w:val="005405EC"/>
    <w:rsid w:val="0054564A"/>
    <w:rsid w:val="00567D92"/>
    <w:rsid w:val="00570195"/>
    <w:rsid w:val="00576989"/>
    <w:rsid w:val="00592803"/>
    <w:rsid w:val="005A2901"/>
    <w:rsid w:val="005B5E35"/>
    <w:rsid w:val="005B7F24"/>
    <w:rsid w:val="005D448D"/>
    <w:rsid w:val="005D6698"/>
    <w:rsid w:val="005E1F94"/>
    <w:rsid w:val="00625B9E"/>
    <w:rsid w:val="00637D6A"/>
    <w:rsid w:val="0068188E"/>
    <w:rsid w:val="00694C40"/>
    <w:rsid w:val="00695578"/>
    <w:rsid w:val="006A2C73"/>
    <w:rsid w:val="006B37AE"/>
    <w:rsid w:val="006C54A0"/>
    <w:rsid w:val="006E5FE7"/>
    <w:rsid w:val="006F585F"/>
    <w:rsid w:val="00704855"/>
    <w:rsid w:val="007130C5"/>
    <w:rsid w:val="00714268"/>
    <w:rsid w:val="00743153"/>
    <w:rsid w:val="0074629C"/>
    <w:rsid w:val="00765C0E"/>
    <w:rsid w:val="00770FC6"/>
    <w:rsid w:val="0078337A"/>
    <w:rsid w:val="00795652"/>
    <w:rsid w:val="0079674E"/>
    <w:rsid w:val="007E19A7"/>
    <w:rsid w:val="00806199"/>
    <w:rsid w:val="0084191F"/>
    <w:rsid w:val="00841AC5"/>
    <w:rsid w:val="00860CA4"/>
    <w:rsid w:val="008722CD"/>
    <w:rsid w:val="00880FF7"/>
    <w:rsid w:val="00886D59"/>
    <w:rsid w:val="00887486"/>
    <w:rsid w:val="00895628"/>
    <w:rsid w:val="008D2337"/>
    <w:rsid w:val="008D47C5"/>
    <w:rsid w:val="008D5791"/>
    <w:rsid w:val="008D5EAF"/>
    <w:rsid w:val="008F0F52"/>
    <w:rsid w:val="00901CEF"/>
    <w:rsid w:val="00926FCE"/>
    <w:rsid w:val="0092782B"/>
    <w:rsid w:val="00932DD3"/>
    <w:rsid w:val="00940F76"/>
    <w:rsid w:val="00946CED"/>
    <w:rsid w:val="00950249"/>
    <w:rsid w:val="009602E6"/>
    <w:rsid w:val="009916E8"/>
    <w:rsid w:val="00996363"/>
    <w:rsid w:val="009A13B6"/>
    <w:rsid w:val="009D5831"/>
    <w:rsid w:val="009E6C61"/>
    <w:rsid w:val="009F0C47"/>
    <w:rsid w:val="00A078CA"/>
    <w:rsid w:val="00A26E3A"/>
    <w:rsid w:val="00A305D2"/>
    <w:rsid w:val="00A97DF7"/>
    <w:rsid w:val="00AC772B"/>
    <w:rsid w:val="00B046DE"/>
    <w:rsid w:val="00B11EE7"/>
    <w:rsid w:val="00B12698"/>
    <w:rsid w:val="00B66797"/>
    <w:rsid w:val="00B9575F"/>
    <w:rsid w:val="00B9637A"/>
    <w:rsid w:val="00BB156E"/>
    <w:rsid w:val="00BC64F4"/>
    <w:rsid w:val="00BD27F1"/>
    <w:rsid w:val="00BF716C"/>
    <w:rsid w:val="00C00A43"/>
    <w:rsid w:val="00C06656"/>
    <w:rsid w:val="00C25E4F"/>
    <w:rsid w:val="00C375A2"/>
    <w:rsid w:val="00C37F2F"/>
    <w:rsid w:val="00C669C2"/>
    <w:rsid w:val="00C7473D"/>
    <w:rsid w:val="00C96197"/>
    <w:rsid w:val="00C96867"/>
    <w:rsid w:val="00CA25CD"/>
    <w:rsid w:val="00CC5F3F"/>
    <w:rsid w:val="00CE0014"/>
    <w:rsid w:val="00CE1FC7"/>
    <w:rsid w:val="00D04320"/>
    <w:rsid w:val="00D128D8"/>
    <w:rsid w:val="00D2056F"/>
    <w:rsid w:val="00D27900"/>
    <w:rsid w:val="00D30CD1"/>
    <w:rsid w:val="00D53801"/>
    <w:rsid w:val="00D5503F"/>
    <w:rsid w:val="00D7127A"/>
    <w:rsid w:val="00D77040"/>
    <w:rsid w:val="00D9711F"/>
    <w:rsid w:val="00DA20BF"/>
    <w:rsid w:val="00DA4064"/>
    <w:rsid w:val="00DB64CB"/>
    <w:rsid w:val="00DB7A20"/>
    <w:rsid w:val="00DE3962"/>
    <w:rsid w:val="00E11D70"/>
    <w:rsid w:val="00E20D61"/>
    <w:rsid w:val="00E35FBC"/>
    <w:rsid w:val="00E36651"/>
    <w:rsid w:val="00E44031"/>
    <w:rsid w:val="00E62122"/>
    <w:rsid w:val="00E660AC"/>
    <w:rsid w:val="00E81CB5"/>
    <w:rsid w:val="00E81F00"/>
    <w:rsid w:val="00EB64AA"/>
    <w:rsid w:val="00EE1304"/>
    <w:rsid w:val="00EE57E5"/>
    <w:rsid w:val="00F0159F"/>
    <w:rsid w:val="00F0541D"/>
    <w:rsid w:val="00F068AA"/>
    <w:rsid w:val="00F12BC8"/>
    <w:rsid w:val="00F15C69"/>
    <w:rsid w:val="00F17483"/>
    <w:rsid w:val="00F25CB2"/>
    <w:rsid w:val="00F26A1E"/>
    <w:rsid w:val="00F27AD4"/>
    <w:rsid w:val="00F5670A"/>
    <w:rsid w:val="00F84AD1"/>
    <w:rsid w:val="00FD6694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A440"/>
  <w15:docId w15:val="{0C73684A-B30D-4905-861E-C95988DC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D128D8"/>
    <w:pPr>
      <w:spacing w:after="0" w:line="240" w:lineRule="auto"/>
    </w:pPr>
    <w:rPr>
      <w:rFonts w:ascii="Times New Roman" w:eastAsia="Times New Roman" w:hAnsi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128D8"/>
    <w:rPr>
      <w:rFonts w:ascii="Times New Roman" w:eastAsia="Times New Roman" w:hAnsi="Times New Roman"/>
      <w:sz w:val="24"/>
      <w:lang w:eastAsia="en-US"/>
    </w:rPr>
  </w:style>
  <w:style w:type="paragraph" w:styleId="Revision">
    <w:name w:val="Revision"/>
    <w:hidden/>
    <w:uiPriority w:val="99"/>
    <w:semiHidden/>
    <w:rsid w:val="00FF0F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D0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2B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281590E6B5944BF333C44C0BBD25A" ma:contentTypeVersion="0" ma:contentTypeDescription="Create a new document." ma:contentTypeScope="" ma:versionID="262b3449b5af67973fd72b042947a2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3D6A03F-E966-492D-B516-01011C915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0764C-F808-4738-BAC8-7972C4F0D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AD8EC-F5E5-4C80-923A-4F74E377FD8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Secure Trust Bank PLC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benbows</dc:creator>
  <cp:keywords/>
  <dc:description/>
  <cp:lastModifiedBy>Maninder Dhada</cp:lastModifiedBy>
  <cp:revision>4</cp:revision>
  <cp:lastPrinted>2014-10-22T07:41:00Z</cp:lastPrinted>
  <dcterms:created xsi:type="dcterms:W3CDTF">2024-09-16T12:44:00Z</dcterms:created>
  <dcterms:modified xsi:type="dcterms:W3CDTF">2024-09-18T12:26:00Z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0x010100BFD281590E6B5944BF333C44C0BBD25A</vt:lpwstr>
  </property>
  <property fmtid="{D5CDD505-2E9C-101B-9397-08002B2CF9AE}" pid="3" name="ClassificationContentMarkingFooterShapeIds">
    <vt:lpwstr>388b6820,1c0fd5e,2d28e451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Company Confidential</vt:lpwstr>
  </property>
  <property fmtid="{D5CDD505-2E9C-101B-9397-08002B2CF9AE}" pid="6" name="MSIP_Label_ef6327e6-fc0e-4760-99e5-056f7efd02ce_Enabled">
    <vt:lpwstr>true</vt:lpwstr>
  </property>
  <property fmtid="{D5CDD505-2E9C-101B-9397-08002B2CF9AE}" pid="7" name="MSIP_Label_ef6327e6-fc0e-4760-99e5-056f7efd02ce_SetDate">
    <vt:lpwstr>2024-09-16T12:42:02Z</vt:lpwstr>
  </property>
  <property fmtid="{D5CDD505-2E9C-101B-9397-08002B2CF9AE}" pid="8" name="MSIP_Label_ef6327e6-fc0e-4760-99e5-056f7efd02ce_Method">
    <vt:lpwstr>Standard</vt:lpwstr>
  </property>
  <property fmtid="{D5CDD505-2E9C-101B-9397-08002B2CF9AE}" pid="9" name="MSIP_Label_ef6327e6-fc0e-4760-99e5-056f7efd02ce_Name">
    <vt:lpwstr>Company Confidential</vt:lpwstr>
  </property>
  <property fmtid="{D5CDD505-2E9C-101B-9397-08002B2CF9AE}" pid="10" name="MSIP_Label_ef6327e6-fc0e-4760-99e5-056f7efd02ce_SiteId">
    <vt:lpwstr>f22a49a4-3b88-46d2-951c-591470e3149b</vt:lpwstr>
  </property>
  <property fmtid="{D5CDD505-2E9C-101B-9397-08002B2CF9AE}" pid="11" name="MSIP_Label_ef6327e6-fc0e-4760-99e5-056f7efd02ce_ActionId">
    <vt:lpwstr>ece67682-d45c-4342-a64d-527a14fedd18</vt:lpwstr>
  </property>
  <property fmtid="{D5CDD505-2E9C-101B-9397-08002B2CF9AE}" pid="12" name="MSIP_Label_ef6327e6-fc0e-4760-99e5-056f7efd02ce_ContentBits">
    <vt:lpwstr>2</vt:lpwstr>
  </property>
</Properties>
</file>