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643"/>
      </w:tblGrid>
      <w:tr w:rsidR="002645BE" w:rsidRPr="00D2056F" w14:paraId="528C8251" w14:textId="77777777" w:rsidTr="009805FD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7DE43FE4" w:rsidR="002645BE" w:rsidRPr="00D2056F" w:rsidRDefault="004635A5" w:rsidP="004635A5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8CCFA" w14:textId="4DE9E7D4" w:rsidR="002645BE" w:rsidRPr="003815D2" w:rsidRDefault="00841AC5" w:rsidP="004635A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316C27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 xml:space="preserve">Financial Crime Risk &amp; Control Manager </w:t>
            </w:r>
            <w:r w:rsidR="00F3390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</w:tc>
      </w:tr>
      <w:tr w:rsidR="002645BE" w:rsidRPr="00D2056F" w14:paraId="3BFB6DDE" w14:textId="77777777" w:rsidTr="009805FD">
        <w:trPr>
          <w:trHeight w:val="1431"/>
        </w:trPr>
        <w:tc>
          <w:tcPr>
            <w:tcW w:w="11029" w:type="dxa"/>
            <w:gridSpan w:val="2"/>
          </w:tcPr>
          <w:p w14:paraId="737032B1" w14:textId="4F57A7CF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Level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316C27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5</w:t>
            </w:r>
          </w:p>
          <w:p w14:paraId="3255A544" w14:textId="74EF69F6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Career Path</w:t>
            </w: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: </w:t>
            </w:r>
            <w:r w:rsidR="00316C27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Individual Contributor </w:t>
            </w:r>
          </w:p>
          <w:p w14:paraId="47BD8E2D" w14:textId="77777777" w:rsidR="000E50ED" w:rsidRPr="000E50ED" w:rsidRDefault="003815D2" w:rsidP="000E50ED">
            <w:pPr>
              <w:tabs>
                <w:tab w:val="left" w:pos="9320"/>
              </w:tabs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0E50ED" w:rsidRPr="000E50ED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Senior Financial Crime Risk Manager </w:t>
            </w:r>
          </w:p>
          <w:p w14:paraId="49A0E198" w14:textId="4E041F33" w:rsidR="002645BE" w:rsidRPr="004727F8" w:rsidRDefault="000E50ED" w:rsidP="000E50ED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0E50ED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Location:  Flexible Solihull/Cardiff/London/Manchester (Hybrid working pattern)</w:t>
            </w:r>
          </w:p>
        </w:tc>
      </w:tr>
      <w:tr w:rsidR="002645BE" w:rsidRPr="00BB00E5" w14:paraId="6355A4CD" w14:textId="77777777" w:rsidTr="009805FD">
        <w:trPr>
          <w:trHeight w:val="1431"/>
        </w:trPr>
        <w:tc>
          <w:tcPr>
            <w:tcW w:w="11029" w:type="dxa"/>
            <w:gridSpan w:val="2"/>
          </w:tcPr>
          <w:p w14:paraId="37B2BBD6" w14:textId="1E0C94E3" w:rsidR="003815D2" w:rsidRPr="003815D2" w:rsidRDefault="003815D2" w:rsidP="004727F8">
            <w:pPr>
              <w:spacing w:before="120" w:after="6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2A091C">
              <w:rPr>
                <w:sz w:val="22"/>
                <w:szCs w:val="22"/>
                <w:lang w:eastAsia="en-GB"/>
              </w:rPr>
              <w:t xml:space="preserve">Secure Trust Bank is an established, well-funded and </w:t>
            </w:r>
            <w:proofErr w:type="spellStart"/>
            <w:r w:rsidRPr="002A091C">
              <w:rPr>
                <w:sz w:val="22"/>
                <w:szCs w:val="22"/>
                <w:lang w:eastAsia="en-GB"/>
              </w:rPr>
              <w:t>capitalised</w:t>
            </w:r>
            <w:proofErr w:type="spellEnd"/>
            <w:r w:rsidRPr="002A091C">
              <w:rPr>
                <w:sz w:val="22"/>
                <w:szCs w:val="22"/>
                <w:lang w:eastAsia="en-GB"/>
              </w:rPr>
              <w:t xml:space="preserve"> UK retail bank </w:t>
            </w:r>
            <w:r w:rsidR="00D9692A">
              <w:rPr>
                <w:sz w:val="22"/>
                <w:szCs w:val="22"/>
                <w:lang w:eastAsia="en-GB"/>
              </w:rPr>
              <w:t>providing savings accounts and lending services to over a million customers. In 2022 the Group celebrated 70 years of helping consumers and businesses fulfil their ambitions.</w:t>
            </w:r>
          </w:p>
          <w:p w14:paraId="55D4E4AD" w14:textId="0877E390" w:rsidR="00051AE2" w:rsidRPr="00B226A7" w:rsidRDefault="003815D2" w:rsidP="00B226A7">
            <w:pPr>
              <w:spacing w:before="60" w:after="60" w:line="240" w:lineRule="auto"/>
              <w:rPr>
                <w:iCs/>
                <w:sz w:val="22"/>
                <w:szCs w:val="22"/>
              </w:rPr>
            </w:pPr>
            <w:r w:rsidRPr="007C5CA5">
              <w:rPr>
                <w:iCs/>
                <w:sz w:val="22"/>
                <w:szCs w:val="22"/>
              </w:rPr>
              <w:t xml:space="preserve">Our customers are at the heart of everything we do, but we can’t achieve our </w:t>
            </w:r>
            <w:proofErr w:type="gramStart"/>
            <w:r w:rsidRPr="007C5CA5">
              <w:rPr>
                <w:iCs/>
                <w:sz w:val="22"/>
                <w:szCs w:val="22"/>
              </w:rPr>
              <w:t>customer focused</w:t>
            </w:r>
            <w:proofErr w:type="gramEnd"/>
            <w:r w:rsidRPr="007C5CA5">
              <w:rPr>
                <w:iCs/>
                <w:sz w:val="22"/>
                <w:szCs w:val="22"/>
              </w:rPr>
              <w:t xml:space="preserve"> strategy without the right people in our team. At Secure Trust Bank, we know that people are our biggest investment, which is why a career with us is not just a job. It’s the chance to be part of something bigger, to add real value to the Bank and help us constantly improve, </w:t>
            </w:r>
            <w:proofErr w:type="gramStart"/>
            <w:r w:rsidRPr="007C5CA5">
              <w:rPr>
                <w:iCs/>
                <w:sz w:val="22"/>
                <w:szCs w:val="22"/>
              </w:rPr>
              <w:t>in order to</w:t>
            </w:r>
            <w:proofErr w:type="gramEnd"/>
            <w:r w:rsidRPr="007C5CA5">
              <w:rPr>
                <w:iCs/>
                <w:sz w:val="22"/>
                <w:szCs w:val="22"/>
              </w:rPr>
              <w:t xml:space="preserve"> achieve our ambition of becoming the </w:t>
            </w:r>
            <w:proofErr w:type="gramStart"/>
            <w:r w:rsidR="00D9692A">
              <w:rPr>
                <w:iCs/>
                <w:sz w:val="22"/>
                <w:szCs w:val="22"/>
              </w:rPr>
              <w:t xml:space="preserve">most </w:t>
            </w:r>
            <w:proofErr w:type="spellStart"/>
            <w:r w:rsidR="00D9692A">
              <w:rPr>
                <w:iCs/>
                <w:sz w:val="22"/>
                <w:szCs w:val="22"/>
              </w:rPr>
              <w:t>most</w:t>
            </w:r>
            <w:proofErr w:type="spellEnd"/>
            <w:proofErr w:type="gramEnd"/>
            <w:r w:rsidR="00D9692A">
              <w:rPr>
                <w:iCs/>
                <w:sz w:val="22"/>
                <w:szCs w:val="22"/>
              </w:rPr>
              <w:t xml:space="preserve"> trusted</w:t>
            </w:r>
            <w:r w:rsidR="00B226A7">
              <w:rPr>
                <w:iCs/>
                <w:sz w:val="22"/>
                <w:szCs w:val="22"/>
              </w:rPr>
              <w:t xml:space="preserve"> specialist lender in the </w:t>
            </w:r>
            <w:proofErr w:type="gramStart"/>
            <w:r w:rsidR="00B226A7">
              <w:rPr>
                <w:iCs/>
                <w:sz w:val="22"/>
                <w:szCs w:val="22"/>
              </w:rPr>
              <w:t>UK</w:t>
            </w:r>
            <w:r w:rsidR="00D9692A">
              <w:rPr>
                <w:iCs/>
                <w:sz w:val="22"/>
                <w:szCs w:val="22"/>
              </w:rPr>
              <w:t xml:space="preserve"> </w:t>
            </w:r>
            <w:r w:rsidRPr="007C5CA5">
              <w:rPr>
                <w:iCs/>
                <w:sz w:val="22"/>
                <w:szCs w:val="22"/>
              </w:rPr>
              <w:t>.</w:t>
            </w:r>
            <w:proofErr w:type="gramEnd"/>
            <w:r w:rsidRPr="007C5CA5">
              <w:rPr>
                <w:iCs/>
                <w:sz w:val="22"/>
                <w:szCs w:val="22"/>
              </w:rPr>
              <w:t xml:space="preserve"> We believe in giving our staff autonomy, with initiative and exceptional performance </w:t>
            </w:r>
            <w:proofErr w:type="spellStart"/>
            <w:r w:rsidRPr="007C5CA5">
              <w:rPr>
                <w:iCs/>
                <w:sz w:val="22"/>
                <w:szCs w:val="22"/>
              </w:rPr>
              <w:t>recognised</w:t>
            </w:r>
            <w:proofErr w:type="spellEnd"/>
            <w:r w:rsidRPr="007C5CA5">
              <w:rPr>
                <w:iCs/>
                <w:sz w:val="22"/>
                <w:szCs w:val="22"/>
              </w:rPr>
              <w:t xml:space="preserve"> through a variety of individual and team awards and incentives. All our employees have a tangible impact on the Group’s core values, and we are looking for candidates who are enthusiastic, proactive and enjoy working in a </w:t>
            </w:r>
            <w:proofErr w:type="gramStart"/>
            <w:r w:rsidRPr="007C5CA5">
              <w:rPr>
                <w:iCs/>
                <w:sz w:val="22"/>
                <w:szCs w:val="22"/>
              </w:rPr>
              <w:t>fast paced</w:t>
            </w:r>
            <w:proofErr w:type="gramEnd"/>
            <w:r w:rsidRPr="007C5CA5">
              <w:rPr>
                <w:iCs/>
                <w:sz w:val="22"/>
                <w:szCs w:val="22"/>
              </w:rPr>
              <w:t xml:space="preserve"> environment. </w:t>
            </w:r>
          </w:p>
        </w:tc>
      </w:tr>
      <w:tr w:rsidR="002645BE" w:rsidRPr="00BB00E5" w14:paraId="6EF85A6D" w14:textId="77777777" w:rsidTr="009805FD">
        <w:trPr>
          <w:trHeight w:val="443"/>
        </w:trPr>
        <w:tc>
          <w:tcPr>
            <w:tcW w:w="1364" w:type="dxa"/>
          </w:tcPr>
          <w:p w14:paraId="67A03226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BB00E5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5745FB33" w14:textId="77777777" w:rsidR="002645BE" w:rsidRDefault="00057DD9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5E5EA854" w14:textId="38EF63AE" w:rsidR="00316C27" w:rsidRDefault="00316C27" w:rsidP="00316C2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316C2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To play a leading role in the control testing and monitoring of the execution of Financial </w:t>
            </w:r>
            <w:r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C</w:t>
            </w:r>
            <w:r w:rsidRPr="00316C2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rime Policy, Standards to ensure that</w:t>
            </w:r>
            <w:r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316C2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Financial Crime regulatory requirements are met and losses through Financial Crime are contained to a level acceptable to senior management of the business. </w:t>
            </w:r>
          </w:p>
          <w:p w14:paraId="0C83975D" w14:textId="77777777" w:rsidR="00316C27" w:rsidRPr="00316C27" w:rsidRDefault="00316C27" w:rsidP="00316C2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</w:p>
          <w:p w14:paraId="100C61CC" w14:textId="68097EF0" w:rsidR="00316C27" w:rsidRPr="00316C27" w:rsidRDefault="00316C27" w:rsidP="00316C2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The Risk &amp; Control Manager will i</w:t>
            </w:r>
            <w:r w:rsidRPr="00316C2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nform the </w:t>
            </w:r>
            <w:r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r</w:t>
            </w:r>
            <w:r w:rsidRPr="00316C2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isk owners and MLRO that robust risk management through adherence to the Group Policies can be evidenced by assurance of financial </w:t>
            </w:r>
            <w:proofErr w:type="gramStart"/>
            <w:r w:rsidRPr="00316C2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crime  systems</w:t>
            </w:r>
            <w:proofErr w:type="gramEnd"/>
            <w:r w:rsidRPr="00316C2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, controls, processes and procedures </w:t>
            </w:r>
            <w:r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and will b</w:t>
            </w:r>
            <w:r w:rsidRPr="00316C2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e a subject matter expert for Financial Crime screening and monitoring systems second line assurance</w:t>
            </w:r>
            <w:r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.</w:t>
            </w:r>
            <w:r w:rsidRPr="00316C2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</w:t>
            </w:r>
          </w:p>
          <w:p w14:paraId="5458F099" w14:textId="77777777" w:rsidR="00316C27" w:rsidRPr="00316C27" w:rsidRDefault="00316C27" w:rsidP="00316C27">
            <w:pPr>
              <w:spacing w:after="0" w:line="240" w:lineRule="auto"/>
              <w:ind w:left="360"/>
              <w:contextualSpacing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</w:p>
          <w:p w14:paraId="54C89E1B" w14:textId="5E8BBCBE" w:rsidR="00607FF6" w:rsidRPr="00BB00E5" w:rsidRDefault="00316C27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316C2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</w:rPr>
              <w:t>The role requires strong technical knowledge across the range of economic crime topics as well as product areas such as Retail Finance, Deposits and Business Finance products and services</w:t>
            </w:r>
            <w:r w:rsidR="00A320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</w:rPr>
              <w:t>.</w:t>
            </w:r>
          </w:p>
          <w:p w14:paraId="2F66431B" w14:textId="77777777" w:rsidR="000C1CA2" w:rsidRPr="00BB00E5" w:rsidRDefault="000C1CA2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1293FB9" w14:textId="31D4B5A4" w:rsidR="00765C0E" w:rsidRPr="00472C37" w:rsidRDefault="00895628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  <w:r w:rsidR="00472C37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1C909809" w14:textId="77777777" w:rsidR="00A32035" w:rsidRPr="00A32035" w:rsidRDefault="00A32035" w:rsidP="00A32035">
            <w:pPr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  <w:lang w:val="en-GB"/>
              </w:rPr>
            </w:pPr>
            <w:r w:rsidRPr="00A32035">
              <w:rPr>
                <w:rFonts w:cs="Arial"/>
                <w:sz w:val="22"/>
                <w:lang w:val="en-GB"/>
              </w:rPr>
              <w:t xml:space="preserve">Responsible for the </w:t>
            </w:r>
            <w:proofErr w:type="spellStart"/>
            <w:r w:rsidRPr="00A32035">
              <w:rPr>
                <w:rFonts w:cs="Arial"/>
                <w:sz w:val="22"/>
                <w:lang w:val="en-GB"/>
              </w:rPr>
              <w:t>overight</w:t>
            </w:r>
            <w:proofErr w:type="spellEnd"/>
            <w:r w:rsidRPr="00A32035">
              <w:rPr>
                <w:rFonts w:cs="Arial"/>
                <w:sz w:val="22"/>
                <w:lang w:val="en-GB"/>
              </w:rPr>
              <w:t xml:space="preserve"> of first line operations and management of Transaction </w:t>
            </w:r>
            <w:proofErr w:type="spellStart"/>
            <w:r w:rsidRPr="00A32035">
              <w:rPr>
                <w:rFonts w:cs="Arial"/>
                <w:sz w:val="22"/>
                <w:lang w:val="en-GB"/>
              </w:rPr>
              <w:t>Montioring</w:t>
            </w:r>
            <w:proofErr w:type="spellEnd"/>
            <w:r w:rsidRPr="00A32035">
              <w:rPr>
                <w:rFonts w:cs="Arial"/>
                <w:sz w:val="22"/>
                <w:lang w:val="en-GB"/>
              </w:rPr>
              <w:t xml:space="preserve"> and Customer Screening systems.</w:t>
            </w:r>
          </w:p>
          <w:p w14:paraId="72254C03" w14:textId="77777777" w:rsidR="00A32035" w:rsidRPr="00A32035" w:rsidRDefault="00A32035" w:rsidP="00A32035">
            <w:pPr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  <w:lang w:val="en-GB"/>
              </w:rPr>
            </w:pPr>
            <w:r w:rsidRPr="00A32035">
              <w:rPr>
                <w:rFonts w:cs="Arial"/>
                <w:sz w:val="22"/>
                <w:lang w:val="en-GB"/>
              </w:rPr>
              <w:t xml:space="preserve">Responsible for risk typology assessment and criteria assessment of rule sets and parameters used to monitor for such typologies. </w:t>
            </w:r>
          </w:p>
          <w:p w14:paraId="1BE1F884" w14:textId="77777777" w:rsidR="00A32035" w:rsidRPr="00A32035" w:rsidRDefault="00A32035" w:rsidP="00A32035">
            <w:pPr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  <w:lang w:val="en-GB"/>
              </w:rPr>
            </w:pPr>
            <w:r w:rsidRPr="00A32035">
              <w:rPr>
                <w:rFonts w:cs="Arial"/>
                <w:sz w:val="22"/>
                <w:lang w:val="en-GB"/>
              </w:rPr>
              <w:t xml:space="preserve">Liaison with </w:t>
            </w:r>
            <w:proofErr w:type="gramStart"/>
            <w:r w:rsidRPr="00A32035">
              <w:rPr>
                <w:rFonts w:cs="Arial"/>
                <w:sz w:val="22"/>
                <w:lang w:val="en-GB"/>
              </w:rPr>
              <w:t>colleagues  in</w:t>
            </w:r>
            <w:proofErr w:type="gramEnd"/>
            <w:r w:rsidRPr="00A32035">
              <w:rPr>
                <w:rFonts w:cs="Arial"/>
                <w:sz w:val="22"/>
                <w:lang w:val="en-GB"/>
              </w:rPr>
              <w:t xml:space="preserve"> the first line of defence on AML and other Financial </w:t>
            </w:r>
            <w:proofErr w:type="gramStart"/>
            <w:r w:rsidRPr="00A32035">
              <w:rPr>
                <w:rFonts w:cs="Arial"/>
                <w:sz w:val="22"/>
                <w:lang w:val="en-GB"/>
              </w:rPr>
              <w:t>Crime  assurance</w:t>
            </w:r>
            <w:proofErr w:type="gramEnd"/>
            <w:r w:rsidRPr="00A32035">
              <w:rPr>
                <w:rFonts w:cs="Arial"/>
                <w:sz w:val="22"/>
                <w:lang w:val="en-GB"/>
              </w:rPr>
              <w:t xml:space="preserve"> related matters</w:t>
            </w:r>
          </w:p>
          <w:p w14:paraId="4707A94F" w14:textId="5E4AB62A" w:rsidR="00A32035" w:rsidRPr="00A32035" w:rsidRDefault="00A32035" w:rsidP="00A32035">
            <w:pPr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  <w:lang w:val="en-GB"/>
              </w:rPr>
            </w:pPr>
            <w:r w:rsidRPr="00A32035">
              <w:rPr>
                <w:rFonts w:cs="Arial"/>
                <w:sz w:val="22"/>
                <w:lang w:val="en-GB"/>
              </w:rPr>
              <w:t>Compile a robust plan that</w:t>
            </w:r>
            <w:r>
              <w:rPr>
                <w:rFonts w:cs="Arial"/>
                <w:sz w:val="22"/>
                <w:lang w:val="en-GB"/>
              </w:rPr>
              <w:t xml:space="preserve"> </w:t>
            </w:r>
            <w:r w:rsidRPr="00A32035">
              <w:rPr>
                <w:rFonts w:cs="Arial"/>
                <w:sz w:val="22"/>
                <w:lang w:val="en-GB"/>
              </w:rPr>
              <w:t>assures the capabilities required to manage economic crime risk framework as well as core control areas to monitor these risks across the Group.</w:t>
            </w:r>
          </w:p>
          <w:p w14:paraId="0BF70EE0" w14:textId="77777777" w:rsidR="00A32035" w:rsidRPr="00A32035" w:rsidRDefault="00A32035" w:rsidP="00A32035">
            <w:pPr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  <w:lang w:val="en-GB"/>
              </w:rPr>
            </w:pPr>
            <w:r w:rsidRPr="00A32035">
              <w:rPr>
                <w:rFonts w:cs="Arial"/>
                <w:sz w:val="22"/>
                <w:lang w:val="en-GB"/>
              </w:rPr>
              <w:t>Review ad-hoc areas/themes as requested by the MLRO</w:t>
            </w:r>
          </w:p>
          <w:p w14:paraId="20024C51" w14:textId="77777777" w:rsidR="00A32035" w:rsidRPr="00A32035" w:rsidRDefault="00A32035" w:rsidP="00A32035">
            <w:pPr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  <w:lang w:val="en-GB"/>
              </w:rPr>
            </w:pPr>
            <w:r w:rsidRPr="00A32035">
              <w:rPr>
                <w:rFonts w:cs="Arial"/>
                <w:sz w:val="22"/>
                <w:lang w:val="en-GB"/>
              </w:rPr>
              <w:t>Conducting detailed reviews business areas or thematic capabilities to an agreed scope and plan</w:t>
            </w:r>
          </w:p>
          <w:p w14:paraId="133687F6" w14:textId="77777777" w:rsidR="00A32035" w:rsidRPr="00A32035" w:rsidRDefault="00A32035" w:rsidP="00A32035">
            <w:pPr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  <w:lang w:val="en-GB"/>
              </w:rPr>
            </w:pPr>
            <w:r w:rsidRPr="00A32035">
              <w:rPr>
                <w:rFonts w:cs="Arial"/>
                <w:sz w:val="22"/>
                <w:lang w:val="en-GB"/>
              </w:rPr>
              <w:t>Producing reports detailing findings in line with the agreed STB format. Ensure these have been checked for factual accuracy with the risk owners and agreed</w:t>
            </w:r>
          </w:p>
          <w:p w14:paraId="2E0A9540" w14:textId="77777777" w:rsidR="00A32035" w:rsidRPr="00A32035" w:rsidRDefault="00A32035" w:rsidP="00A32035">
            <w:pPr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  <w:lang w:val="en-GB"/>
              </w:rPr>
            </w:pPr>
            <w:r w:rsidRPr="00A32035">
              <w:rPr>
                <w:rFonts w:cs="Arial"/>
                <w:sz w:val="22"/>
                <w:lang w:val="en-GB"/>
              </w:rPr>
              <w:t>Ensure action plans have been compiled by the risk owners and review to satisfy the MLRO that the committed actions will address the root cause identified.</w:t>
            </w:r>
          </w:p>
          <w:p w14:paraId="564D4FB9" w14:textId="5E48F9FC" w:rsidR="00754573" w:rsidRPr="00BB00E5" w:rsidRDefault="00A32035" w:rsidP="000E50ED">
            <w:pPr>
              <w:numPr>
                <w:ilvl w:val="0"/>
                <w:numId w:val="14"/>
              </w:numPr>
              <w:spacing w:before="60" w:after="60"/>
              <w:ind w:left="284"/>
              <w:rPr>
                <w:rFonts w:cs="Shruti"/>
                <w:sz w:val="22"/>
              </w:rPr>
            </w:pPr>
            <w:r w:rsidRPr="00A32035">
              <w:rPr>
                <w:rFonts w:cs="Arial"/>
                <w:sz w:val="22"/>
                <w:lang w:val="en-GB"/>
              </w:rPr>
              <w:lastRenderedPageBreak/>
              <w:t xml:space="preserve">Act as second line liaison on all proposed system related changes including risk assessment of changes proposed. </w:t>
            </w:r>
          </w:p>
        </w:tc>
      </w:tr>
      <w:tr w:rsidR="002645BE" w:rsidRPr="00BB00E5" w14:paraId="7030AF4D" w14:textId="77777777" w:rsidTr="009805FD">
        <w:trPr>
          <w:trHeight w:val="1431"/>
        </w:trPr>
        <w:tc>
          <w:tcPr>
            <w:tcW w:w="1364" w:type="dxa"/>
          </w:tcPr>
          <w:p w14:paraId="48B1E8DB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6C25FACA" w14:textId="77777777" w:rsidR="00CE0014" w:rsidRPr="00BB00E5" w:rsidRDefault="00CE0014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45A577D9" w14:textId="77777777" w:rsidR="00A32035" w:rsidRPr="00A32035" w:rsidRDefault="00A32035" w:rsidP="00A3203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A3203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Knowledge, experience, skills, other attributes</w:t>
            </w:r>
          </w:p>
          <w:p w14:paraId="77F399D1" w14:textId="0758BF69" w:rsidR="00A32035" w:rsidRPr="00A32035" w:rsidRDefault="00A32035" w:rsidP="00A32035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Demonstrable </w:t>
            </w:r>
            <w:r w:rsidRPr="00A320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experience in a Financial Crime related system and oversight role</w:t>
            </w:r>
          </w:p>
          <w:p w14:paraId="5760ECE5" w14:textId="77777777" w:rsidR="00A32035" w:rsidRPr="00A32035" w:rsidRDefault="00A32035" w:rsidP="00A32035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A320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Detailed knowledge of the UK Financial </w:t>
            </w:r>
            <w:proofErr w:type="gramStart"/>
            <w:r w:rsidRPr="00A320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Crime  regime</w:t>
            </w:r>
            <w:proofErr w:type="gramEnd"/>
            <w:r w:rsidRPr="00A320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including experience of AML, CTF and Sanctions </w:t>
            </w:r>
          </w:p>
          <w:p w14:paraId="3C6D04B4" w14:textId="77777777" w:rsidR="00A32035" w:rsidRPr="00A32035" w:rsidRDefault="00A32035" w:rsidP="00A32035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A320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Practical knowledge and experience of commonly deployed anti money laundering and customer screening systems (inc. PEPs and Sanctions screen tools)</w:t>
            </w:r>
          </w:p>
          <w:p w14:paraId="3D5A3C5E" w14:textId="77777777" w:rsidR="00A32035" w:rsidRPr="00A32035" w:rsidRDefault="00A32035" w:rsidP="00A32035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A320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Working knowledge of SQL or SAS databases and analytics. </w:t>
            </w:r>
          </w:p>
          <w:p w14:paraId="49CAA6DB" w14:textId="77777777" w:rsidR="00A32035" w:rsidRPr="00A32035" w:rsidRDefault="00A32035" w:rsidP="00A32035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A320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Ability to engage with stakeholders at all levels of the business and be able to handle and manage conflict. </w:t>
            </w:r>
          </w:p>
          <w:p w14:paraId="7E700F0C" w14:textId="77777777" w:rsidR="00A32035" w:rsidRPr="00A32035" w:rsidRDefault="00A32035" w:rsidP="00A32035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A320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Work well with others in the team and acts as a role model, setting high standards of quality and demonstrating commitment to self-development</w:t>
            </w:r>
          </w:p>
          <w:p w14:paraId="1C3A8F18" w14:textId="69C0B320" w:rsidR="009805FD" w:rsidRPr="00A32035" w:rsidRDefault="00A32035" w:rsidP="00AA0A08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A320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Excellent written and spoken communication skills; an ability to communicate with impact, ensuring complex information is articulated in a meaningful and easily understood way to wide and varied audiences. </w:t>
            </w:r>
          </w:p>
          <w:p w14:paraId="44211DCF" w14:textId="77777777" w:rsidR="000E1675" w:rsidRPr="00BB00E5" w:rsidRDefault="000E1675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458169E9" w14:textId="77777777" w:rsidR="002645BE" w:rsidRPr="003815D2" w:rsidRDefault="00743153" w:rsidP="003815D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10C8F613" w14:textId="77777777" w:rsidR="003815D2" w:rsidRDefault="003815D2" w:rsidP="003815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Risk Aware – We keep our </w:t>
            </w:r>
            <w:proofErr w:type="spellStart"/>
            <w:r>
              <w:rPr>
                <w:rFonts w:cs="Arial"/>
                <w:sz w:val="22"/>
              </w:rPr>
              <w:t>custmers</w:t>
            </w:r>
            <w:proofErr w:type="spellEnd"/>
            <w:r>
              <w:rPr>
                <w:rFonts w:cs="Arial"/>
                <w:sz w:val="22"/>
              </w:rPr>
              <w:t xml:space="preserve"> and ourselves safe and secure </w:t>
            </w:r>
          </w:p>
          <w:p w14:paraId="0894F5FF" w14:textId="77777777" w:rsidR="003815D2" w:rsidRDefault="003815D2" w:rsidP="003815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55ADE8DD" w14:textId="42994878" w:rsidR="003815D2" w:rsidRDefault="003815D2" w:rsidP="003815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Ownership – Being accountable and t</w:t>
            </w:r>
            <w:r w:rsidR="000501C0">
              <w:rPr>
                <w:rFonts w:cs="Arial"/>
                <w:sz w:val="22"/>
              </w:rPr>
              <w:t>a</w:t>
            </w:r>
            <w:r>
              <w:rPr>
                <w:rFonts w:cs="Arial"/>
                <w:sz w:val="22"/>
              </w:rPr>
              <w:t>king responsibility for our actions</w:t>
            </w:r>
          </w:p>
          <w:p w14:paraId="0BCB4D17" w14:textId="77777777" w:rsidR="003815D2" w:rsidRDefault="003815D2" w:rsidP="003815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Performance Driven – To become the best bank in Britain we need to be accountable for what we do</w:t>
            </w:r>
          </w:p>
          <w:p w14:paraId="115926ED" w14:textId="77777777" w:rsidR="000E1675" w:rsidRPr="003815D2" w:rsidRDefault="003815D2" w:rsidP="003815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 w:rsidRPr="004B3A8F">
              <w:rPr>
                <w:rFonts w:cs="Arial"/>
                <w:sz w:val="22"/>
              </w:rPr>
              <w:t xml:space="preserve">Team Oriented </w:t>
            </w:r>
            <w:r>
              <w:rPr>
                <w:rFonts w:cs="Arial"/>
                <w:sz w:val="22"/>
              </w:rPr>
              <w:t xml:space="preserve">– We achieve more when we work well together </w:t>
            </w:r>
          </w:p>
          <w:p w14:paraId="24371516" w14:textId="77777777" w:rsidR="000E1675" w:rsidRPr="00BB00E5" w:rsidRDefault="000E1675" w:rsidP="0081467D">
            <w:pPr>
              <w:tabs>
                <w:tab w:val="left" w:pos="2684"/>
              </w:tabs>
              <w:spacing w:after="0" w:line="240" w:lineRule="auto"/>
              <w:rPr>
                <w:rFonts w:asciiTheme="minorHAnsi" w:hAnsiTheme="minorHAnsi" w:cs="Shruti"/>
                <w:sz w:val="22"/>
              </w:rPr>
            </w:pP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2"/>
      <w:footerReference w:type="default" r:id="rId13"/>
      <w:footerReference w:type="first" r:id="rId14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45D4" w14:textId="77777777" w:rsidR="003815D2" w:rsidRDefault="003815D2" w:rsidP="003815D2">
      <w:pPr>
        <w:spacing w:after="0" w:line="240" w:lineRule="auto"/>
      </w:pPr>
      <w:r>
        <w:separator/>
      </w:r>
    </w:p>
  </w:endnote>
  <w:endnote w:type="continuationSeparator" w:id="0">
    <w:p w14:paraId="3C3145C0" w14:textId="77777777" w:rsidR="003815D2" w:rsidRDefault="003815D2" w:rsidP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06F2A" w14:textId="54E53B97" w:rsidR="00B226A7" w:rsidRDefault="00B226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BE02D" wp14:editId="675A291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8F232" w14:textId="1BF0490D" w:rsidR="00B226A7" w:rsidRPr="00B226A7" w:rsidRDefault="00B226A7" w:rsidP="00B226A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226A7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BE0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mpany 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5578F232" w14:textId="1BF0490D" w:rsidR="00B226A7" w:rsidRPr="00B226A7" w:rsidRDefault="00B226A7" w:rsidP="00B226A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226A7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3602" w14:textId="03B0C2F6" w:rsidR="003815D2" w:rsidRPr="003815D2" w:rsidRDefault="00B226A7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33FC02" wp14:editId="7D94603F">
              <wp:simplePos x="1143000" y="94583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C29BE" w14:textId="00CA5DDB" w:rsidR="00B226A7" w:rsidRPr="00B226A7" w:rsidRDefault="00B226A7" w:rsidP="00B226A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226A7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3FC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mpany Confidenti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6DAC29BE" w14:textId="00CA5DDB" w:rsidR="00B226A7" w:rsidRPr="00B226A7" w:rsidRDefault="00B226A7" w:rsidP="00B226A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226A7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607FF6">
      <w:rPr>
        <w:sz w:val="18"/>
      </w:rPr>
      <w:t>[job title]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NUMPAGES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ptab w:relativeTo="margin" w:alignment="right" w:leader="none"/>
    </w:r>
    <w:r w:rsidR="00607FF6">
      <w:rPr>
        <w:sz w:val="18"/>
      </w:rPr>
      <w:t>[date]</w:t>
    </w:r>
    <w:r w:rsidR="003815D2">
      <w:rPr>
        <w:sz w:val="18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2CA2" w14:textId="3743D4D4" w:rsidR="00B226A7" w:rsidRDefault="00B226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48A002" wp14:editId="1A6CC16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09A2C" w14:textId="2A276878" w:rsidR="00B226A7" w:rsidRPr="00B226A7" w:rsidRDefault="00B226A7" w:rsidP="00B226A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226A7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8A0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8009A2C" w14:textId="2A276878" w:rsidR="00B226A7" w:rsidRPr="00B226A7" w:rsidRDefault="00B226A7" w:rsidP="00B226A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226A7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E2BBA" w14:textId="77777777" w:rsidR="003815D2" w:rsidRDefault="003815D2" w:rsidP="003815D2">
      <w:pPr>
        <w:spacing w:after="0" w:line="240" w:lineRule="auto"/>
      </w:pPr>
      <w:r>
        <w:separator/>
      </w:r>
    </w:p>
  </w:footnote>
  <w:footnote w:type="continuationSeparator" w:id="0">
    <w:p w14:paraId="535BB27E" w14:textId="77777777" w:rsidR="003815D2" w:rsidRDefault="003815D2" w:rsidP="0038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396B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585F80"/>
    <w:multiLevelType w:val="hybridMultilevel"/>
    <w:tmpl w:val="05280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520030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9334738">
    <w:abstractNumId w:val="11"/>
  </w:num>
  <w:num w:numId="3" w16cid:durableId="1441022960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47707640">
    <w:abstractNumId w:val="3"/>
  </w:num>
  <w:num w:numId="5" w16cid:durableId="674649640">
    <w:abstractNumId w:val="2"/>
  </w:num>
  <w:num w:numId="6" w16cid:durableId="639462169">
    <w:abstractNumId w:val="1"/>
  </w:num>
  <w:num w:numId="7" w16cid:durableId="1299409579">
    <w:abstractNumId w:val="0"/>
  </w:num>
  <w:num w:numId="8" w16cid:durableId="1556159711">
    <w:abstractNumId w:val="6"/>
  </w:num>
  <w:num w:numId="9" w16cid:durableId="1457486805">
    <w:abstractNumId w:val="7"/>
  </w:num>
  <w:num w:numId="10" w16cid:durableId="41754673">
    <w:abstractNumId w:val="12"/>
  </w:num>
  <w:num w:numId="11" w16cid:durableId="445538269">
    <w:abstractNumId w:val="9"/>
  </w:num>
  <w:num w:numId="12" w16cid:durableId="536554209">
    <w:abstractNumId w:val="10"/>
  </w:num>
  <w:num w:numId="13" w16cid:durableId="776026055">
    <w:abstractNumId w:val="5"/>
  </w:num>
  <w:num w:numId="14" w16cid:durableId="190756500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67428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10989"/>
    <w:rsid w:val="00016BAC"/>
    <w:rsid w:val="000255F2"/>
    <w:rsid w:val="000501C0"/>
    <w:rsid w:val="00051A30"/>
    <w:rsid w:val="00051AE2"/>
    <w:rsid w:val="00057DD9"/>
    <w:rsid w:val="000A063A"/>
    <w:rsid w:val="000A2288"/>
    <w:rsid w:val="000A3866"/>
    <w:rsid w:val="000A5BB6"/>
    <w:rsid w:val="000B2AD5"/>
    <w:rsid w:val="000B3B37"/>
    <w:rsid w:val="000C1CA2"/>
    <w:rsid w:val="000D4EE8"/>
    <w:rsid w:val="000E1675"/>
    <w:rsid w:val="000E50ED"/>
    <w:rsid w:val="000F64F3"/>
    <w:rsid w:val="000F6C5A"/>
    <w:rsid w:val="00114FFD"/>
    <w:rsid w:val="001161A6"/>
    <w:rsid w:val="00122916"/>
    <w:rsid w:val="00133F4C"/>
    <w:rsid w:val="00147984"/>
    <w:rsid w:val="00175D1B"/>
    <w:rsid w:val="001870D9"/>
    <w:rsid w:val="00194580"/>
    <w:rsid w:val="001A1230"/>
    <w:rsid w:val="001B23F7"/>
    <w:rsid w:val="001E6B7D"/>
    <w:rsid w:val="001F00F7"/>
    <w:rsid w:val="00201A3C"/>
    <w:rsid w:val="00204167"/>
    <w:rsid w:val="002070CF"/>
    <w:rsid w:val="00246B72"/>
    <w:rsid w:val="00246C51"/>
    <w:rsid w:val="00250317"/>
    <w:rsid w:val="002508ED"/>
    <w:rsid w:val="00250EFA"/>
    <w:rsid w:val="00250FCB"/>
    <w:rsid w:val="002645BE"/>
    <w:rsid w:val="002649C8"/>
    <w:rsid w:val="00284ECB"/>
    <w:rsid w:val="00286429"/>
    <w:rsid w:val="002A09DF"/>
    <w:rsid w:val="002B272E"/>
    <w:rsid w:val="002F4DFF"/>
    <w:rsid w:val="00316C27"/>
    <w:rsid w:val="00320865"/>
    <w:rsid w:val="003274F9"/>
    <w:rsid w:val="00331D6A"/>
    <w:rsid w:val="003358C3"/>
    <w:rsid w:val="00366455"/>
    <w:rsid w:val="00372CBD"/>
    <w:rsid w:val="003815D2"/>
    <w:rsid w:val="00387916"/>
    <w:rsid w:val="003A387D"/>
    <w:rsid w:val="003B1453"/>
    <w:rsid w:val="003E27D3"/>
    <w:rsid w:val="00403636"/>
    <w:rsid w:val="00403BAB"/>
    <w:rsid w:val="004060F8"/>
    <w:rsid w:val="00410D7C"/>
    <w:rsid w:val="0042497F"/>
    <w:rsid w:val="0043497B"/>
    <w:rsid w:val="004635A5"/>
    <w:rsid w:val="0046590B"/>
    <w:rsid w:val="00467150"/>
    <w:rsid w:val="004727F8"/>
    <w:rsid w:val="00472C37"/>
    <w:rsid w:val="004B0050"/>
    <w:rsid w:val="00506FE0"/>
    <w:rsid w:val="00515D88"/>
    <w:rsid w:val="00517BAC"/>
    <w:rsid w:val="00522F64"/>
    <w:rsid w:val="005405EC"/>
    <w:rsid w:val="005440E1"/>
    <w:rsid w:val="0054564A"/>
    <w:rsid w:val="00567D92"/>
    <w:rsid w:val="00576989"/>
    <w:rsid w:val="00592803"/>
    <w:rsid w:val="005A2901"/>
    <w:rsid w:val="005D448D"/>
    <w:rsid w:val="005D6698"/>
    <w:rsid w:val="00607FF6"/>
    <w:rsid w:val="00625B9E"/>
    <w:rsid w:val="00637D6A"/>
    <w:rsid w:val="00651DB0"/>
    <w:rsid w:val="0065233C"/>
    <w:rsid w:val="0068188E"/>
    <w:rsid w:val="006A5F77"/>
    <w:rsid w:val="006B37AE"/>
    <w:rsid w:val="006C54A0"/>
    <w:rsid w:val="007130C5"/>
    <w:rsid w:val="007323C5"/>
    <w:rsid w:val="00743153"/>
    <w:rsid w:val="0074629C"/>
    <w:rsid w:val="00754573"/>
    <w:rsid w:val="00765C0E"/>
    <w:rsid w:val="00770FC6"/>
    <w:rsid w:val="00775132"/>
    <w:rsid w:val="0078337A"/>
    <w:rsid w:val="0079362B"/>
    <w:rsid w:val="00795652"/>
    <w:rsid w:val="007A7FF1"/>
    <w:rsid w:val="0081467D"/>
    <w:rsid w:val="00841AC5"/>
    <w:rsid w:val="008446F3"/>
    <w:rsid w:val="00860CA4"/>
    <w:rsid w:val="00884D7C"/>
    <w:rsid w:val="00886D59"/>
    <w:rsid w:val="00895628"/>
    <w:rsid w:val="008A5B48"/>
    <w:rsid w:val="008D2337"/>
    <w:rsid w:val="008D5791"/>
    <w:rsid w:val="008D5EAF"/>
    <w:rsid w:val="008F0F52"/>
    <w:rsid w:val="00926FCE"/>
    <w:rsid w:val="0092782B"/>
    <w:rsid w:val="00932DD3"/>
    <w:rsid w:val="00940F76"/>
    <w:rsid w:val="009602E6"/>
    <w:rsid w:val="009610CA"/>
    <w:rsid w:val="009805FD"/>
    <w:rsid w:val="00996363"/>
    <w:rsid w:val="009E6C61"/>
    <w:rsid w:val="00A32035"/>
    <w:rsid w:val="00A6514B"/>
    <w:rsid w:val="00A97DF7"/>
    <w:rsid w:val="00AC6C5A"/>
    <w:rsid w:val="00AC772B"/>
    <w:rsid w:val="00B156C6"/>
    <w:rsid w:val="00B226A7"/>
    <w:rsid w:val="00B373CA"/>
    <w:rsid w:val="00B66578"/>
    <w:rsid w:val="00B66797"/>
    <w:rsid w:val="00B9637A"/>
    <w:rsid w:val="00BA5B79"/>
    <w:rsid w:val="00BB00E5"/>
    <w:rsid w:val="00BC64F4"/>
    <w:rsid w:val="00BD27F1"/>
    <w:rsid w:val="00BF716C"/>
    <w:rsid w:val="00C00A43"/>
    <w:rsid w:val="00C012C6"/>
    <w:rsid w:val="00C03500"/>
    <w:rsid w:val="00C06656"/>
    <w:rsid w:val="00C375A2"/>
    <w:rsid w:val="00C37F2F"/>
    <w:rsid w:val="00C75B03"/>
    <w:rsid w:val="00C91BAB"/>
    <w:rsid w:val="00C96197"/>
    <w:rsid w:val="00CA25CD"/>
    <w:rsid w:val="00CC5F3F"/>
    <w:rsid w:val="00CE0014"/>
    <w:rsid w:val="00CE1FC7"/>
    <w:rsid w:val="00D04320"/>
    <w:rsid w:val="00D2056F"/>
    <w:rsid w:val="00D27900"/>
    <w:rsid w:val="00D30CD1"/>
    <w:rsid w:val="00D53801"/>
    <w:rsid w:val="00D9692A"/>
    <w:rsid w:val="00D9711F"/>
    <w:rsid w:val="00DE3962"/>
    <w:rsid w:val="00E11D70"/>
    <w:rsid w:val="00E20D61"/>
    <w:rsid w:val="00E36651"/>
    <w:rsid w:val="00E37B9E"/>
    <w:rsid w:val="00E62122"/>
    <w:rsid w:val="00E660AC"/>
    <w:rsid w:val="00E81F00"/>
    <w:rsid w:val="00E96053"/>
    <w:rsid w:val="00EA2747"/>
    <w:rsid w:val="00EE1304"/>
    <w:rsid w:val="00F0159F"/>
    <w:rsid w:val="00F068AA"/>
    <w:rsid w:val="00F12BC8"/>
    <w:rsid w:val="00F1571E"/>
    <w:rsid w:val="00F15C69"/>
    <w:rsid w:val="00F17483"/>
    <w:rsid w:val="00F24B36"/>
    <w:rsid w:val="00F261CE"/>
    <w:rsid w:val="00F27AD4"/>
    <w:rsid w:val="00F33904"/>
    <w:rsid w:val="00F565D6"/>
    <w:rsid w:val="00F60B64"/>
    <w:rsid w:val="00F84AD1"/>
    <w:rsid w:val="00FA2D82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9590B0384B34699E14FB78C47D9F4" ma:contentTypeVersion="0" ma:contentTypeDescription="Create a new document." ma:contentTypeScope="" ma:versionID="471d113cf8f195b70938b47eef9ae3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31951F-6B20-4D97-95DF-17EB126288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AE4A0-5D3E-475F-A353-D20E54880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CAD8EC-F5E5-4C80-923A-4F74E377FD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Katie Drumm</cp:lastModifiedBy>
  <cp:revision>2</cp:revision>
  <cp:lastPrinted>2020-01-29T07:33:00Z</cp:lastPrinted>
  <dcterms:created xsi:type="dcterms:W3CDTF">2025-08-19T09:02:00Z</dcterms:created>
  <dcterms:modified xsi:type="dcterms:W3CDTF">2025-08-19T09:02:00Z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0x0101002819590B0384B34699E14FB78C47D9F4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Company Confidential</vt:lpwstr>
  </property>
  <property fmtid="{D5CDD505-2E9C-101B-9397-08002B2CF9AE}" pid="6" name="MSIP_Label_ef6327e6-fc0e-4760-99e5-056f7efd02ce_Enabled">
    <vt:lpwstr>true</vt:lpwstr>
  </property>
  <property fmtid="{D5CDD505-2E9C-101B-9397-08002B2CF9AE}" pid="7" name="MSIP_Label_ef6327e6-fc0e-4760-99e5-056f7efd02ce_SetDate">
    <vt:lpwstr>2023-09-04T11:13:30Z</vt:lpwstr>
  </property>
  <property fmtid="{D5CDD505-2E9C-101B-9397-08002B2CF9AE}" pid="8" name="MSIP_Label_ef6327e6-fc0e-4760-99e5-056f7efd02ce_Method">
    <vt:lpwstr>Standard</vt:lpwstr>
  </property>
  <property fmtid="{D5CDD505-2E9C-101B-9397-08002B2CF9AE}" pid="9" name="MSIP_Label_ef6327e6-fc0e-4760-99e5-056f7efd02ce_Name">
    <vt:lpwstr>Company Confidential</vt:lpwstr>
  </property>
  <property fmtid="{D5CDD505-2E9C-101B-9397-08002B2CF9AE}" pid="10" name="MSIP_Label_ef6327e6-fc0e-4760-99e5-056f7efd02ce_SiteId">
    <vt:lpwstr>f22a49a4-3b88-46d2-951c-591470e3149b</vt:lpwstr>
  </property>
  <property fmtid="{D5CDD505-2E9C-101B-9397-08002B2CF9AE}" pid="11" name="MSIP_Label_ef6327e6-fc0e-4760-99e5-056f7efd02ce_ActionId">
    <vt:lpwstr>83b089e2-05e8-4025-8f63-e00a27e08d7c</vt:lpwstr>
  </property>
  <property fmtid="{D5CDD505-2E9C-101B-9397-08002B2CF9AE}" pid="12" name="MSIP_Label_ef6327e6-fc0e-4760-99e5-056f7efd02ce_ContentBits">
    <vt:lpwstr>2</vt:lpwstr>
  </property>
</Properties>
</file>