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9919"/>
      </w:tblGrid>
      <w:tr w:rsidR="0029503A" w:rsidRPr="001C1E31" w14:paraId="4CE15504" w14:textId="77777777" w:rsidTr="006A5CB2">
        <w:trPr>
          <w:trHeight w:val="1344"/>
        </w:trPr>
        <w:tc>
          <w:tcPr>
            <w:tcW w:w="1280" w:type="dxa"/>
          </w:tcPr>
          <w:p w14:paraId="15C5E4EF" w14:textId="77777777" w:rsidR="0029503A" w:rsidRPr="002645BE" w:rsidRDefault="0029503A" w:rsidP="006A5CB2">
            <w:pPr>
              <w:spacing w:after="0" w:line="240" w:lineRule="auto"/>
              <w:rPr>
                <w:rFonts w:cs="Shruti"/>
                <w:b/>
                <w:sz w:val="20"/>
                <w:szCs w:val="22"/>
                <w:lang w:val="en-GB"/>
              </w:rPr>
            </w:pPr>
            <w:r>
              <w:rPr>
                <w:rFonts w:cs="Shruti"/>
                <w:b/>
                <w:sz w:val="20"/>
                <w:szCs w:val="22"/>
                <w:lang w:val="en-GB"/>
              </w:rPr>
              <w:t>Job purpose</w:t>
            </w:r>
          </w:p>
        </w:tc>
        <w:tc>
          <w:tcPr>
            <w:tcW w:w="9919" w:type="dxa"/>
          </w:tcPr>
          <w:p w14:paraId="63EC7080" w14:textId="37F0C6B2" w:rsidR="0029503A" w:rsidRPr="001C1E31" w:rsidRDefault="0029503A" w:rsidP="006A5CB2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1E3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Senior Pricing Analyst</w:t>
            </w:r>
            <w:r w:rsidRPr="001C1E3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oversees Pricing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across the group </w:t>
            </w:r>
            <w:r w:rsidRPr="001C1E3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and provides insight and analysis to support the review of business profitability and performance. </w:t>
            </w:r>
          </w:p>
          <w:p w14:paraId="00A4C9E0" w14:textId="4B99CD33" w:rsidR="0029503A" w:rsidRPr="001C1E31" w:rsidRDefault="0029503A" w:rsidP="006A5CB2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The</w:t>
            </w:r>
            <w:proofErr w:type="gram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role will s</w:t>
            </w:r>
            <w:r w:rsidRPr="001C1E3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upport the development of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pricing models</w:t>
            </w:r>
            <w:r w:rsidRPr="001C1E3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MI reporting</w:t>
            </w:r>
            <w:r w:rsidRPr="001C1E31">
              <w:rPr>
                <w:rFonts w:asciiTheme="minorHAnsi" w:hAnsiTheme="minorHAnsi" w:cstheme="minorHAnsi"/>
                <w:iCs/>
                <w:sz w:val="22"/>
                <w:szCs w:val="22"/>
              </w:rPr>
              <w:t>, using analytical techniques to drive profitable income growth within risk appetite.</w:t>
            </w:r>
          </w:p>
        </w:tc>
      </w:tr>
      <w:tr w:rsidR="0029503A" w:rsidRPr="00924120" w14:paraId="6CFC4DB6" w14:textId="77777777" w:rsidTr="006A5CB2">
        <w:trPr>
          <w:trHeight w:val="1344"/>
        </w:trPr>
        <w:tc>
          <w:tcPr>
            <w:tcW w:w="1280" w:type="dxa"/>
          </w:tcPr>
          <w:p w14:paraId="7B874E98" w14:textId="77777777" w:rsidR="0029503A" w:rsidRPr="002645BE" w:rsidRDefault="0029503A" w:rsidP="006A5CB2">
            <w:pPr>
              <w:spacing w:after="0" w:line="240" w:lineRule="auto"/>
              <w:rPr>
                <w:rFonts w:cs="Shruti"/>
                <w:b/>
                <w:sz w:val="20"/>
                <w:szCs w:val="22"/>
                <w:lang w:val="en-GB"/>
              </w:rPr>
            </w:pPr>
            <w:r w:rsidRPr="002645BE">
              <w:rPr>
                <w:rFonts w:cs="Shruti"/>
                <w:b/>
                <w:sz w:val="20"/>
                <w:szCs w:val="22"/>
                <w:lang w:val="en-GB"/>
              </w:rPr>
              <w:t>Job Description</w:t>
            </w:r>
          </w:p>
          <w:p w14:paraId="10DF2837" w14:textId="77777777" w:rsidR="0029503A" w:rsidRPr="002645BE" w:rsidRDefault="0029503A" w:rsidP="006A5CB2">
            <w:pPr>
              <w:spacing w:after="0" w:line="240" w:lineRule="auto"/>
              <w:rPr>
                <w:rFonts w:cs="Shruti"/>
                <w:b/>
                <w:sz w:val="20"/>
                <w:szCs w:val="22"/>
                <w:lang w:val="en-GB"/>
              </w:rPr>
            </w:pPr>
          </w:p>
        </w:tc>
        <w:tc>
          <w:tcPr>
            <w:tcW w:w="9919" w:type="dxa"/>
          </w:tcPr>
          <w:p w14:paraId="5C16775B" w14:textId="77777777" w:rsidR="0029503A" w:rsidRDefault="0029503A" w:rsidP="006A5CB2">
            <w:pPr>
              <w:pStyle w:val="ListParagraph"/>
              <w:rPr>
                <w:rFonts w:asciiTheme="minorHAnsi" w:hAnsiTheme="minorHAnsi" w:cstheme="minorHAnsi"/>
                <w:iCs/>
                <w:sz w:val="22"/>
              </w:rPr>
            </w:pPr>
          </w:p>
          <w:p w14:paraId="64EDD2CC" w14:textId="77777777" w:rsidR="0029503A" w:rsidRPr="00924120" w:rsidRDefault="0029503A" w:rsidP="002950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357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 xml:space="preserve">Develop monthly MI and new business profitability reporting to drive Pricing Review meetings. </w:t>
            </w:r>
          </w:p>
          <w:p w14:paraId="12BCB5CD" w14:textId="5CBFF7FF" w:rsidR="0029503A" w:rsidRPr="00924120" w:rsidRDefault="0029503A" w:rsidP="006A5CB2">
            <w:pPr>
              <w:pStyle w:val="ListBullet"/>
              <w:numPr>
                <w:ilvl w:val="0"/>
                <w:numId w:val="3"/>
              </w:numPr>
              <w:spacing w:after="0"/>
              <w:ind w:hanging="3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Undertake pricing for new prospects and develop pricing for existing partners</w:t>
            </w:r>
          </w:p>
          <w:p w14:paraId="6C973D35" w14:textId="308EB9A6" w:rsidR="0029503A" w:rsidRPr="00924120" w:rsidRDefault="0029503A" w:rsidP="006A5CB2">
            <w:pPr>
              <w:pStyle w:val="ListBullet"/>
              <w:numPr>
                <w:ilvl w:val="0"/>
                <w:numId w:val="3"/>
              </w:numPr>
              <w:spacing w:after="0"/>
              <w:ind w:hanging="3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Use modelling techniques to seek opportunities to improve profitability through reviewing current pricing products and structures, make recommendations for change.</w:t>
            </w:r>
          </w:p>
          <w:p w14:paraId="76B30103" w14:textId="77777777" w:rsidR="0029503A" w:rsidRPr="00924120" w:rsidRDefault="0029503A" w:rsidP="002950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357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 xml:space="preserve">Develop </w:t>
            </w:r>
            <w:proofErr w:type="gramStart"/>
            <w:r w:rsidRPr="00924120">
              <w:rPr>
                <w:rFonts w:asciiTheme="minorHAnsi" w:hAnsiTheme="minorHAnsi" w:cstheme="minorHAnsi"/>
                <w:iCs/>
                <w:sz w:val="22"/>
              </w:rPr>
              <w:t>introducer</w:t>
            </w:r>
            <w:proofErr w:type="gramEnd"/>
            <w:r w:rsidRPr="00924120">
              <w:rPr>
                <w:rFonts w:asciiTheme="minorHAnsi" w:hAnsiTheme="minorHAnsi" w:cstheme="minorHAnsi"/>
                <w:iCs/>
                <w:sz w:val="22"/>
              </w:rPr>
              <w:t xml:space="preserve"> performance reporting to assist the business in </w:t>
            </w:r>
            <w:proofErr w:type="gramStart"/>
            <w:r w:rsidRPr="00924120">
              <w:rPr>
                <w:rFonts w:asciiTheme="minorHAnsi" w:hAnsiTheme="minorHAnsi" w:cstheme="minorHAnsi"/>
                <w:iCs/>
                <w:sz w:val="22"/>
              </w:rPr>
              <w:t>the effective</w:t>
            </w:r>
            <w:proofErr w:type="gramEnd"/>
            <w:r w:rsidRPr="00924120">
              <w:rPr>
                <w:rFonts w:asciiTheme="minorHAnsi" w:hAnsiTheme="minorHAnsi" w:cstheme="minorHAnsi"/>
                <w:iCs/>
                <w:sz w:val="22"/>
              </w:rPr>
              <w:t xml:space="preserve"> and profitable management of relationships.</w:t>
            </w:r>
          </w:p>
          <w:p w14:paraId="4C3AD038" w14:textId="77777777" w:rsidR="0029503A" w:rsidRPr="00924120" w:rsidRDefault="0029503A" w:rsidP="002950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357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>Support and input into the development of new products, channels, and strategic business initiatives.</w:t>
            </w:r>
          </w:p>
          <w:p w14:paraId="0752CA97" w14:textId="6E74DCC9" w:rsidR="0029503A" w:rsidRPr="00924120" w:rsidRDefault="0029503A" w:rsidP="002950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357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>Work with the commercial and credit risk teams to help build partnerships, and develop new products options</w:t>
            </w:r>
          </w:p>
          <w:p w14:paraId="0E32B8F5" w14:textId="77777777" w:rsidR="0029503A" w:rsidRPr="00924120" w:rsidRDefault="0029503A" w:rsidP="006A5CB2">
            <w:pPr>
              <w:pStyle w:val="ListBullet"/>
              <w:numPr>
                <w:ilvl w:val="0"/>
                <w:numId w:val="3"/>
              </w:numPr>
              <w:spacing w:after="0"/>
              <w:ind w:hanging="3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Create effective measures, controls, processes, and procedures to manage pricing and business risk</w:t>
            </w:r>
          </w:p>
          <w:p w14:paraId="4AEE4806" w14:textId="1446EFCD" w:rsidR="0029503A" w:rsidRPr="00924120" w:rsidRDefault="0029503A" w:rsidP="006A5CB2">
            <w:pPr>
              <w:pStyle w:val="ListBullet"/>
              <w:numPr>
                <w:ilvl w:val="0"/>
                <w:numId w:val="3"/>
              </w:numPr>
              <w:spacing w:after="0"/>
              <w:ind w:hanging="3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Develop insight to support the business decision making.</w:t>
            </w:r>
          </w:p>
          <w:p w14:paraId="0CF0EBC6" w14:textId="77777777" w:rsidR="0029503A" w:rsidRDefault="0029503A" w:rsidP="006A5CB2">
            <w:pPr>
              <w:pStyle w:val="ListBullet"/>
              <w:numPr>
                <w:ilvl w:val="0"/>
                <w:numId w:val="0"/>
              </w:numPr>
              <w:spacing w:after="0"/>
              <w:ind w:left="1211" w:hanging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191B558" w14:textId="77777777" w:rsidR="0029503A" w:rsidRDefault="0029503A" w:rsidP="006A5CB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Interfaces</w:t>
            </w:r>
          </w:p>
          <w:p w14:paraId="1DE69D1B" w14:textId="77777777" w:rsidR="0029503A" w:rsidRDefault="0029503A" w:rsidP="006A5CB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3325C7C3" w14:textId="77777777" w:rsidR="0029503A" w:rsidRPr="00DF4AC6" w:rsidRDefault="0029503A" w:rsidP="006A5CB2">
            <w:pPr>
              <w:spacing w:before="60" w:after="60" w:line="240" w:lineRule="auto"/>
              <w:rPr>
                <w:iCs/>
                <w:sz w:val="22"/>
                <w:szCs w:val="22"/>
              </w:rPr>
            </w:pPr>
            <w:r w:rsidRPr="00DF4AC6">
              <w:rPr>
                <w:iCs/>
                <w:sz w:val="22"/>
                <w:szCs w:val="22"/>
              </w:rPr>
              <w:t xml:space="preserve">The role holder is expected to </w:t>
            </w:r>
            <w:r>
              <w:rPr>
                <w:iCs/>
                <w:sz w:val="22"/>
                <w:szCs w:val="22"/>
              </w:rPr>
              <w:t xml:space="preserve">work with key </w:t>
            </w:r>
            <w:proofErr w:type="gramStart"/>
            <w:r>
              <w:rPr>
                <w:iCs/>
                <w:sz w:val="22"/>
                <w:szCs w:val="22"/>
              </w:rPr>
              <w:t>stakeholder</w:t>
            </w:r>
            <w:proofErr w:type="gramEnd"/>
            <w:r>
              <w:rPr>
                <w:iCs/>
                <w:sz w:val="22"/>
                <w:szCs w:val="22"/>
              </w:rPr>
              <w:t xml:space="preserve"> across the business and </w:t>
            </w:r>
            <w:r w:rsidRPr="00DF4AC6">
              <w:rPr>
                <w:iCs/>
                <w:sz w:val="22"/>
                <w:szCs w:val="22"/>
              </w:rPr>
              <w:t xml:space="preserve">influence and persuade </w:t>
            </w:r>
            <w:r>
              <w:rPr>
                <w:iCs/>
                <w:sz w:val="22"/>
                <w:szCs w:val="22"/>
              </w:rPr>
              <w:t xml:space="preserve">using their </w:t>
            </w:r>
            <w:r w:rsidRPr="00DF4AC6">
              <w:rPr>
                <w:iCs/>
                <w:sz w:val="22"/>
                <w:szCs w:val="22"/>
              </w:rPr>
              <w:t>analysis</w:t>
            </w:r>
            <w:r>
              <w:rPr>
                <w:iCs/>
                <w:sz w:val="22"/>
                <w:szCs w:val="22"/>
              </w:rPr>
              <w:t xml:space="preserve">, acting as an advisor to provide options to solve problems, and where necessary constructively </w:t>
            </w:r>
            <w:r w:rsidRPr="00DF4AC6">
              <w:rPr>
                <w:iCs/>
                <w:sz w:val="22"/>
                <w:szCs w:val="22"/>
              </w:rPr>
              <w:t>challenge</w:t>
            </w:r>
            <w:r>
              <w:rPr>
                <w:iCs/>
                <w:sz w:val="22"/>
                <w:szCs w:val="22"/>
              </w:rPr>
              <w:t xml:space="preserve"> decision makers</w:t>
            </w:r>
            <w:r w:rsidRPr="00DF4AC6">
              <w:rPr>
                <w:iCs/>
                <w:sz w:val="22"/>
                <w:szCs w:val="22"/>
              </w:rPr>
              <w:t>.</w:t>
            </w:r>
          </w:p>
          <w:p w14:paraId="4B6D4B19" w14:textId="77777777" w:rsidR="0029503A" w:rsidRDefault="0029503A" w:rsidP="006A5CB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AE6CDF5" w14:textId="77777777" w:rsidR="0029503A" w:rsidRPr="00924120" w:rsidRDefault="0029503A" w:rsidP="006A5CB2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The role will see significant interaction with support functions as well as customer and client facing teams.</w:t>
            </w:r>
          </w:p>
          <w:p w14:paraId="4377FB9B" w14:textId="77777777" w:rsidR="0029503A" w:rsidRPr="00924120" w:rsidRDefault="0029503A" w:rsidP="006A5CB2">
            <w:pPr>
              <w:pStyle w:val="ListBullet"/>
              <w:numPr>
                <w:ilvl w:val="0"/>
                <w:numId w:val="0"/>
              </w:numPr>
              <w:spacing w:after="0"/>
              <w:ind w:left="1211" w:hanging="3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9503A" w:rsidRPr="00924120" w14:paraId="6F97C6BA" w14:textId="77777777" w:rsidTr="006A5CB2">
        <w:trPr>
          <w:trHeight w:val="1344"/>
        </w:trPr>
        <w:tc>
          <w:tcPr>
            <w:tcW w:w="1280" w:type="dxa"/>
          </w:tcPr>
          <w:p w14:paraId="263E283E" w14:textId="77777777" w:rsidR="0029503A" w:rsidRPr="00E00759" w:rsidRDefault="0029503A" w:rsidP="006A5CB2">
            <w:pPr>
              <w:spacing w:after="0" w:line="240" w:lineRule="auto"/>
              <w:rPr>
                <w:rFonts w:cs="Shruti"/>
                <w:b/>
                <w:sz w:val="20"/>
                <w:szCs w:val="22"/>
                <w:u w:val="single"/>
                <w:lang w:val="en-GB"/>
              </w:rPr>
            </w:pPr>
          </w:p>
          <w:p w14:paraId="399AA65E" w14:textId="77777777" w:rsidR="0029503A" w:rsidRPr="00E00759" w:rsidRDefault="0029503A" w:rsidP="006A5CB2">
            <w:pPr>
              <w:spacing w:after="0" w:line="240" w:lineRule="auto"/>
              <w:rPr>
                <w:rFonts w:cs="Shruti"/>
                <w:b/>
                <w:sz w:val="20"/>
                <w:szCs w:val="22"/>
                <w:lang w:val="en-GB"/>
              </w:rPr>
            </w:pPr>
            <w:r w:rsidRPr="00E00759">
              <w:rPr>
                <w:rFonts w:cs="Shruti"/>
                <w:b/>
                <w:sz w:val="20"/>
                <w:szCs w:val="22"/>
                <w:lang w:val="en-GB"/>
              </w:rPr>
              <w:t>Person Specification</w:t>
            </w:r>
          </w:p>
          <w:p w14:paraId="7CED47CD" w14:textId="77777777" w:rsidR="0029503A" w:rsidRPr="00E00759" w:rsidRDefault="0029503A" w:rsidP="006A5CB2">
            <w:pPr>
              <w:spacing w:after="0" w:line="240" w:lineRule="auto"/>
              <w:rPr>
                <w:rFonts w:cs="Shruti"/>
                <w:b/>
                <w:sz w:val="20"/>
                <w:szCs w:val="22"/>
                <w:u w:val="single"/>
                <w:lang w:val="en-GB"/>
              </w:rPr>
            </w:pPr>
          </w:p>
        </w:tc>
        <w:tc>
          <w:tcPr>
            <w:tcW w:w="9919" w:type="dxa"/>
          </w:tcPr>
          <w:p w14:paraId="35E873A4" w14:textId="77777777" w:rsidR="0029503A" w:rsidRPr="00924120" w:rsidRDefault="0029503A" w:rsidP="006A5CB2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  <w:p w14:paraId="31A93145" w14:textId="77777777" w:rsidR="0029503A" w:rsidRPr="00924120" w:rsidRDefault="0029503A" w:rsidP="006A5CB2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Knowledge / Experience</w:t>
            </w:r>
          </w:p>
          <w:p w14:paraId="42D403FA" w14:textId="77777777" w:rsidR="0029503A" w:rsidRPr="00924120" w:rsidRDefault="0029503A" w:rsidP="006A5CB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AA9547A" w14:textId="77777777" w:rsidR="0029503A" w:rsidRPr="00924120" w:rsidRDefault="0029503A" w:rsidP="006A5CB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Strong mathematical modelling skills within Data Science / Analytics working with large datasets and developing financial models</w:t>
            </w:r>
          </w:p>
          <w:p w14:paraId="2D1AB12D" w14:textId="0836330B" w:rsidR="0029503A" w:rsidRPr="00924120" w:rsidRDefault="0029503A" w:rsidP="006A5CB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Experience using</w:t>
            </w: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data visualization tools such as Power BI</w:t>
            </w:r>
          </w:p>
          <w:p w14:paraId="740BD18D" w14:textId="77777777" w:rsidR="0029503A" w:rsidRPr="00924120" w:rsidRDefault="0029503A" w:rsidP="006A5CB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Commercially aware and keen to work in a commercially facing finance role</w:t>
            </w:r>
          </w:p>
          <w:p w14:paraId="047315FF" w14:textId="77777777" w:rsidR="0029503A" w:rsidRPr="00924120" w:rsidRDefault="0029503A" w:rsidP="006A5CB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Proven self-starter who is proactive and able to work independently of direct control and supervision</w:t>
            </w:r>
          </w:p>
          <w:p w14:paraId="4E1F9035" w14:textId="77777777" w:rsidR="0029503A" w:rsidRPr="00924120" w:rsidRDefault="0029503A" w:rsidP="006A5CB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Good track record in developing financial analysis for decision making, and able to draw insight for analysis for decision making</w:t>
            </w:r>
          </w:p>
          <w:p w14:paraId="2BEC206A" w14:textId="77777777" w:rsidR="0029503A" w:rsidRDefault="0029503A" w:rsidP="006A5CB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Background in Financial Services or FMCG sector would be beneficial</w:t>
            </w:r>
          </w:p>
          <w:p w14:paraId="3AEEE1BC" w14:textId="7956CC59" w:rsidR="0029503A" w:rsidRPr="00924120" w:rsidRDefault="0029503A" w:rsidP="006A5CB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Understanding of SAS/SQL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/Python or equivalent would be beneficial</w:t>
            </w:r>
          </w:p>
          <w:p w14:paraId="1CA45036" w14:textId="77777777" w:rsidR="0029503A" w:rsidRPr="00924120" w:rsidRDefault="0029503A" w:rsidP="006A5CB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924120"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  <w:lang w:val="en-GB"/>
              </w:rPr>
              <w:t>Qualifications</w:t>
            </w:r>
          </w:p>
          <w:p w14:paraId="66A5E8F4" w14:textId="77777777" w:rsidR="0029503A" w:rsidRPr="00924120" w:rsidRDefault="0029503A" w:rsidP="006A5CB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</w:p>
          <w:p w14:paraId="05E6C178" w14:textId="77777777" w:rsidR="0029503A" w:rsidRPr="00924120" w:rsidRDefault="0029503A" w:rsidP="006A5CB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Educated to degree standard or equivalent work experience </w:t>
            </w:r>
          </w:p>
          <w:p w14:paraId="0098D07F" w14:textId="77777777" w:rsidR="0029503A" w:rsidRPr="00924120" w:rsidRDefault="0029503A" w:rsidP="006A5CB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  <w:szCs w:val="22"/>
              </w:rPr>
              <w:t>Ideally qualified (CIMA/ACCA/ACA)</w:t>
            </w:r>
          </w:p>
          <w:p w14:paraId="01833896" w14:textId="77777777" w:rsidR="0029503A" w:rsidRPr="00924120" w:rsidRDefault="0029503A" w:rsidP="006A5CB2">
            <w:pPr>
              <w:spacing w:after="0" w:line="240" w:lineRule="auto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val="en-GB"/>
              </w:rPr>
            </w:pPr>
          </w:p>
          <w:p w14:paraId="221E788F" w14:textId="77777777" w:rsidR="0029503A" w:rsidRPr="00924120" w:rsidRDefault="0029503A" w:rsidP="006A5CB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924120"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  <w:lang w:val="en-GB"/>
              </w:rPr>
              <w:t>Competencies</w:t>
            </w:r>
          </w:p>
          <w:p w14:paraId="0603CF6B" w14:textId="77777777" w:rsidR="0029503A" w:rsidRPr="00924120" w:rsidRDefault="0029503A" w:rsidP="006A5CB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</w:p>
          <w:p w14:paraId="5B38EF4F" w14:textId="77777777" w:rsidR="0029503A" w:rsidRPr="00924120" w:rsidRDefault="0029503A" w:rsidP="002950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 xml:space="preserve">Customer focused – Our customers are at the heart of everything we do </w:t>
            </w:r>
          </w:p>
          <w:p w14:paraId="32418B12" w14:textId="77777777" w:rsidR="0029503A" w:rsidRPr="00924120" w:rsidRDefault="0029503A" w:rsidP="002950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>Future Orientated – Embracing change and implementing good ideas gives us the competitive edge</w:t>
            </w:r>
          </w:p>
          <w:p w14:paraId="1780F9C6" w14:textId="77777777" w:rsidR="0029503A" w:rsidRPr="00924120" w:rsidRDefault="0029503A" w:rsidP="002950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 xml:space="preserve">Risk Aware – We keep our customers and ourselves safe and secure </w:t>
            </w:r>
          </w:p>
          <w:p w14:paraId="49FAD84D" w14:textId="77777777" w:rsidR="0029503A" w:rsidRPr="00924120" w:rsidRDefault="0029503A" w:rsidP="002950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>Ownership – Being accountable and taking responsibility for our actions</w:t>
            </w:r>
          </w:p>
          <w:p w14:paraId="3748E4BB" w14:textId="77777777" w:rsidR="0029503A" w:rsidRPr="00924120" w:rsidRDefault="0029503A" w:rsidP="002950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>Performance Driven – To become the best bank in Britain we need to be accountable for what we do</w:t>
            </w:r>
          </w:p>
          <w:p w14:paraId="027B9CD9" w14:textId="77777777" w:rsidR="0029503A" w:rsidRPr="00924120" w:rsidRDefault="0029503A" w:rsidP="002950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 w:rsidRPr="00924120">
              <w:rPr>
                <w:rFonts w:asciiTheme="minorHAnsi" w:hAnsiTheme="minorHAnsi" w:cstheme="minorHAnsi"/>
                <w:iCs/>
                <w:sz w:val="22"/>
              </w:rPr>
              <w:t xml:space="preserve">Team Oriented – We achieve more when we work well together </w:t>
            </w:r>
          </w:p>
          <w:p w14:paraId="5B3CEC2D" w14:textId="77777777" w:rsidR="0029503A" w:rsidRPr="00924120" w:rsidRDefault="0029503A" w:rsidP="006A5CB2">
            <w:pPr>
              <w:spacing w:after="0" w:line="240" w:lineRule="auto"/>
              <w:ind w:left="360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  <w:p w14:paraId="4B3D4ECB" w14:textId="77777777" w:rsidR="0029503A" w:rsidRPr="00924120" w:rsidRDefault="0029503A" w:rsidP="006A5CB2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  <w:lang w:val="en-GB"/>
              </w:rPr>
            </w:pPr>
          </w:p>
          <w:p w14:paraId="0A04A76D" w14:textId="77777777" w:rsidR="0029503A" w:rsidRPr="00924120" w:rsidRDefault="0029503A" w:rsidP="006A5CB2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  <w:lang w:val="en-GB"/>
              </w:rPr>
            </w:pPr>
          </w:p>
        </w:tc>
      </w:tr>
    </w:tbl>
    <w:p w14:paraId="14B5A381" w14:textId="77777777" w:rsidR="006E5940" w:rsidRDefault="006E5940"/>
    <w:sectPr w:rsidR="006E594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7D6E" w14:textId="77777777" w:rsidR="00D562ED" w:rsidRDefault="00D562ED" w:rsidP="00D562ED">
      <w:pPr>
        <w:spacing w:after="0" w:line="240" w:lineRule="auto"/>
      </w:pPr>
      <w:r>
        <w:separator/>
      </w:r>
    </w:p>
  </w:endnote>
  <w:endnote w:type="continuationSeparator" w:id="0">
    <w:p w14:paraId="40941E6F" w14:textId="77777777" w:rsidR="00D562ED" w:rsidRDefault="00D562ED" w:rsidP="00D5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27D7" w14:textId="378C3427" w:rsidR="00D562ED" w:rsidRDefault="00D562E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B9909D" wp14:editId="22E4AF3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195575268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E2B0B" w14:textId="0F3601C4" w:rsidR="00D562ED" w:rsidRPr="00D562ED" w:rsidRDefault="00D562ED" w:rsidP="00D562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562E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990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1D2E2B0B" w14:textId="0F3601C4" w:rsidR="00D562ED" w:rsidRPr="00D562ED" w:rsidRDefault="00D562ED" w:rsidP="00D562E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562E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823B" w14:textId="5EB26F73" w:rsidR="00D562ED" w:rsidRDefault="00D562E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6A8AB5" wp14:editId="5B05288B">
              <wp:simplePos x="914400" y="100584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865458074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C22D0" w14:textId="0E307C7A" w:rsidR="00D562ED" w:rsidRPr="00D562ED" w:rsidRDefault="00D562ED" w:rsidP="00D562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562E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A8A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6EDC22D0" w14:textId="0E307C7A" w:rsidR="00D562ED" w:rsidRPr="00D562ED" w:rsidRDefault="00D562ED" w:rsidP="00D562E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562E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6D606" w14:textId="0BA0396D" w:rsidR="00D562ED" w:rsidRDefault="00D562E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C7CA84" wp14:editId="7C1CD46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27650411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7CBA2" w14:textId="5D0BC876" w:rsidR="00D562ED" w:rsidRPr="00D562ED" w:rsidRDefault="00D562ED" w:rsidP="00D562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562E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7CA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23B7CBA2" w14:textId="5D0BC876" w:rsidR="00D562ED" w:rsidRPr="00D562ED" w:rsidRDefault="00D562ED" w:rsidP="00D562E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562E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C819" w14:textId="77777777" w:rsidR="00D562ED" w:rsidRDefault="00D562ED" w:rsidP="00D562ED">
      <w:pPr>
        <w:spacing w:after="0" w:line="240" w:lineRule="auto"/>
      </w:pPr>
      <w:r>
        <w:separator/>
      </w:r>
    </w:p>
  </w:footnote>
  <w:footnote w:type="continuationSeparator" w:id="0">
    <w:p w14:paraId="6CF2E85B" w14:textId="77777777" w:rsidR="00D562ED" w:rsidRDefault="00D562ED" w:rsidP="00D56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B70F270"/>
    <w:lvl w:ilvl="0">
      <w:start w:val="1"/>
      <w:numFmt w:val="bullet"/>
      <w:pStyle w:val="List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28F73375"/>
    <w:multiLevelType w:val="hybridMultilevel"/>
    <w:tmpl w:val="BD282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FB5E88"/>
    <w:multiLevelType w:val="hybridMultilevel"/>
    <w:tmpl w:val="9E52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19421">
    <w:abstractNumId w:val="0"/>
  </w:num>
  <w:num w:numId="2" w16cid:durableId="336926300">
    <w:abstractNumId w:val="1"/>
  </w:num>
  <w:num w:numId="3" w16cid:durableId="2027781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3A"/>
    <w:rsid w:val="0029503A"/>
    <w:rsid w:val="00456808"/>
    <w:rsid w:val="006E5940"/>
    <w:rsid w:val="00D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7B0B"/>
  <w15:chartTrackingRefBased/>
  <w15:docId w15:val="{6D116A89-497D-40E3-B70D-85B7005C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3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03A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"/>
    <w:qFormat/>
    <w:rsid w:val="0029503A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56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2ED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Orohoe</dc:creator>
  <cp:keywords/>
  <dc:description/>
  <cp:lastModifiedBy>Daniel Orohoe</cp:lastModifiedBy>
  <cp:revision>1</cp:revision>
  <dcterms:created xsi:type="dcterms:W3CDTF">2025-07-03T07:17:00Z</dcterms:created>
  <dcterms:modified xsi:type="dcterms:W3CDTF">2025-07-03T14:19:00Z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79bca6b,474307e4,3395d79a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Company Confidential</vt:lpwstr>
  </property>
  <property fmtid="{D5CDD505-2E9C-101B-9397-08002B2CF9AE}" pid="5" name="MSIP_Label_ef6327e6-fc0e-4760-99e5-056f7efd02ce_Enabled">
    <vt:lpwstr>true</vt:lpwstr>
  </property>
  <property fmtid="{D5CDD505-2E9C-101B-9397-08002B2CF9AE}" pid="6" name="MSIP_Label_ef6327e6-fc0e-4760-99e5-056f7efd02ce_SetDate">
    <vt:lpwstr>2025-07-03T14:19:40Z</vt:lpwstr>
  </property>
  <property fmtid="{D5CDD505-2E9C-101B-9397-08002B2CF9AE}" pid="7" name="MSIP_Label_ef6327e6-fc0e-4760-99e5-056f7efd02ce_Method">
    <vt:lpwstr>Standard</vt:lpwstr>
  </property>
  <property fmtid="{D5CDD505-2E9C-101B-9397-08002B2CF9AE}" pid="8" name="MSIP_Label_ef6327e6-fc0e-4760-99e5-056f7efd02ce_Name">
    <vt:lpwstr>Company Confidential</vt:lpwstr>
  </property>
  <property fmtid="{D5CDD505-2E9C-101B-9397-08002B2CF9AE}" pid="9" name="MSIP_Label_ef6327e6-fc0e-4760-99e5-056f7efd02ce_SiteId">
    <vt:lpwstr>f22a49a4-3b88-46d2-951c-591470e3149b</vt:lpwstr>
  </property>
  <property fmtid="{D5CDD505-2E9C-101B-9397-08002B2CF9AE}" pid="10" name="MSIP_Label_ef6327e6-fc0e-4760-99e5-056f7efd02ce_ActionId">
    <vt:lpwstr>92bf8429-b900-4819-95cf-3f78c6c0308a</vt:lpwstr>
  </property>
  <property fmtid="{D5CDD505-2E9C-101B-9397-08002B2CF9AE}" pid="11" name="MSIP_Label_ef6327e6-fc0e-4760-99e5-056f7efd02ce_ContentBits">
    <vt:lpwstr>2</vt:lpwstr>
  </property>
  <property fmtid="{D5CDD505-2E9C-101B-9397-08002B2CF9AE}" pid="12" name="MSIP_Label_ef6327e6-fc0e-4760-99e5-056f7efd02ce_Tag">
    <vt:lpwstr>10, 3, 0, 1</vt:lpwstr>
  </property>
</Properties>
</file>