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6"/>
        <w:gridCol w:w="9813"/>
      </w:tblGrid>
      <w:tr w:rsidR="002645BE" w:rsidRPr="00D40D97" w14:paraId="6698C18E" w14:textId="77777777" w:rsidTr="002645BE">
        <w:trPr>
          <w:trHeight w:val="1132"/>
        </w:trPr>
        <w:tc>
          <w:tcPr>
            <w:tcW w:w="11199" w:type="dxa"/>
            <w:gridSpan w:val="2"/>
            <w:shd w:val="clear" w:color="auto" w:fill="001E5A"/>
          </w:tcPr>
          <w:p w14:paraId="6698C18B" w14:textId="2D2F12E7" w:rsidR="002645BE" w:rsidRPr="00D40D97" w:rsidRDefault="002645BE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0"/>
                <w:szCs w:val="20"/>
                <w:lang w:val="en-GB"/>
              </w:rPr>
            </w:pPr>
          </w:p>
          <w:p w14:paraId="6698C18C" w14:textId="2BC18B99" w:rsidR="00841AC5" w:rsidRPr="00D40D97" w:rsidRDefault="00861C85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32"/>
                <w:szCs w:val="32"/>
                <w:lang w:val="en-GB"/>
              </w:rPr>
            </w:pPr>
            <w:r w:rsidRPr="00CB2607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2F18C6FC" wp14:editId="51FE1D45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17780</wp:posOffset>
                  </wp:positionV>
                  <wp:extent cx="2091690" cy="453390"/>
                  <wp:effectExtent l="0" t="0" r="3810" b="3810"/>
                  <wp:wrapThrough wrapText="bothSides">
                    <wp:wrapPolygon edited="0">
                      <wp:start x="984" y="0"/>
                      <wp:lineTo x="0" y="1815"/>
                      <wp:lineTo x="0" y="15429"/>
                      <wp:lineTo x="984" y="20874"/>
                      <wp:lineTo x="1180" y="20874"/>
                      <wp:lineTo x="9639" y="20874"/>
                      <wp:lineTo x="9836" y="19966"/>
                      <wp:lineTo x="9246" y="15429"/>
                      <wp:lineTo x="21443" y="12706"/>
                      <wp:lineTo x="21443" y="1815"/>
                      <wp:lineTo x="2557" y="0"/>
                      <wp:lineTo x="984" y="0"/>
                    </wp:wrapPolygon>
                  </wp:wrapThrough>
                  <wp:docPr id="1" name="Picture 1" descr="C:\Users\whiteho\AppData\Local\Microsoft\Windows\INetCache\Content.Outlook\7AP7ZKTQ\STB_Logo_Positiv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whiteho\AppData\Local\Microsoft\Windows\INetCache\Content.Outlook\7AP7ZKTQ\STB_Logo_Positiv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AC5" w:rsidRPr="00D40D97">
              <w:rPr>
                <w:rFonts w:asciiTheme="minorHAnsi" w:eastAsiaTheme="minorHAnsi" w:hAnsiTheme="minorHAnsi" w:cs="Shruti"/>
                <w:b/>
                <w:sz w:val="32"/>
                <w:szCs w:val="32"/>
                <w:lang w:val="en-GB"/>
              </w:rPr>
              <w:t>Secure Trust Bank</w:t>
            </w:r>
            <w:r w:rsidR="00D30CD1" w:rsidRPr="00D40D97">
              <w:rPr>
                <w:rFonts w:asciiTheme="minorHAnsi" w:eastAsiaTheme="minorHAnsi" w:hAnsiTheme="minorHAnsi" w:cs="Shruti"/>
                <w:b/>
                <w:sz w:val="32"/>
                <w:szCs w:val="32"/>
                <w:lang w:val="en-GB"/>
              </w:rPr>
              <w:t xml:space="preserve">                                                                             </w:t>
            </w:r>
            <w:r w:rsidR="00841AC5" w:rsidRPr="00D40D97">
              <w:rPr>
                <w:rFonts w:asciiTheme="minorHAnsi" w:eastAsiaTheme="minorHAnsi" w:hAnsiTheme="minorHAnsi" w:cs="Shruti"/>
                <w:b/>
                <w:sz w:val="32"/>
                <w:szCs w:val="32"/>
                <w:lang w:val="en-GB"/>
              </w:rPr>
              <w:br/>
            </w:r>
            <w:r w:rsidR="0082442A">
              <w:rPr>
                <w:rFonts w:asciiTheme="minorHAnsi" w:eastAsiaTheme="minorHAnsi" w:hAnsiTheme="minorHAnsi" w:cs="Shruti"/>
                <w:b/>
                <w:sz w:val="32"/>
                <w:szCs w:val="32"/>
                <w:lang w:val="en-GB"/>
              </w:rPr>
              <w:t>Compliance Manager</w:t>
            </w:r>
            <w:r>
              <w:rPr>
                <w:noProof/>
              </w:rPr>
              <w:t xml:space="preserve"> </w:t>
            </w:r>
          </w:p>
          <w:p w14:paraId="6698C18D" w14:textId="6D52E496" w:rsidR="002645BE" w:rsidRPr="00D40D97" w:rsidRDefault="002645BE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0"/>
                <w:szCs w:val="20"/>
                <w:lang w:val="en-GB"/>
              </w:rPr>
            </w:pPr>
          </w:p>
        </w:tc>
      </w:tr>
      <w:tr w:rsidR="002645BE" w:rsidRPr="00D40D97" w14:paraId="6698C194" w14:textId="77777777" w:rsidTr="00C375A2">
        <w:trPr>
          <w:trHeight w:val="1344"/>
        </w:trPr>
        <w:tc>
          <w:tcPr>
            <w:tcW w:w="11199" w:type="dxa"/>
            <w:gridSpan w:val="2"/>
          </w:tcPr>
          <w:p w14:paraId="6698C18F" w14:textId="25C8A63C" w:rsidR="002645BE" w:rsidRPr="00C93A1F" w:rsidRDefault="002645BE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</w:pPr>
          </w:p>
          <w:p w14:paraId="6698C190" w14:textId="3B153C15" w:rsidR="00D40D97" w:rsidRDefault="004B3A8F" w:rsidP="00317986">
            <w:pPr>
              <w:spacing w:after="0" w:line="240" w:lineRule="auto"/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>Job</w:t>
            </w:r>
            <w:r w:rsidR="00D40D97" w:rsidRPr="00C93A1F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 xml:space="preserve"> Level</w:t>
            </w:r>
            <w:r w:rsidR="00850585" w:rsidRPr="00C93A1F"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  <w:t xml:space="preserve">: </w:t>
            </w:r>
            <w:r w:rsidR="0082442A"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  <w:t>5</w:t>
            </w:r>
          </w:p>
          <w:p w14:paraId="266C5A15" w14:textId="63AFE885" w:rsidR="004B3A8F" w:rsidRDefault="004B3A8F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</w:pPr>
            <w:r w:rsidRPr="004B3A8F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>Career Path</w:t>
            </w:r>
            <w:r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>:</w:t>
            </w:r>
            <w:r w:rsidR="0082442A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 xml:space="preserve"> </w:t>
            </w:r>
            <w:r w:rsidR="0082442A" w:rsidRPr="0082442A">
              <w:rPr>
                <w:rFonts w:asciiTheme="minorHAnsi" w:eastAsiaTheme="minorHAnsi" w:hAnsiTheme="minorHAnsi" w:cs="Shruti"/>
                <w:bCs/>
                <w:sz w:val="22"/>
                <w:szCs w:val="22"/>
                <w:lang w:val="en-GB"/>
              </w:rPr>
              <w:t>Individual Cont</w:t>
            </w:r>
            <w:r w:rsidR="0082442A">
              <w:rPr>
                <w:rFonts w:asciiTheme="minorHAnsi" w:eastAsiaTheme="minorHAnsi" w:hAnsiTheme="minorHAnsi" w:cs="Shruti"/>
                <w:bCs/>
                <w:sz w:val="22"/>
                <w:szCs w:val="22"/>
                <w:lang w:val="en-GB"/>
              </w:rPr>
              <w:t>r</w:t>
            </w:r>
            <w:r w:rsidR="0082442A" w:rsidRPr="0082442A">
              <w:rPr>
                <w:rFonts w:asciiTheme="minorHAnsi" w:eastAsiaTheme="minorHAnsi" w:hAnsiTheme="minorHAnsi" w:cs="Shruti"/>
                <w:bCs/>
                <w:sz w:val="22"/>
                <w:szCs w:val="22"/>
                <w:lang w:val="en-GB"/>
              </w:rPr>
              <w:t>ibutor</w:t>
            </w:r>
          </w:p>
          <w:p w14:paraId="0D409D5D" w14:textId="5162E0FD" w:rsidR="004B3A8F" w:rsidRPr="004B3A8F" w:rsidRDefault="004B3A8F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>Core Job Title:</w:t>
            </w:r>
            <w:r w:rsidRPr="004B3A8F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 xml:space="preserve"> </w:t>
            </w:r>
            <w:r w:rsidR="0082442A" w:rsidRPr="0082442A">
              <w:rPr>
                <w:rFonts w:asciiTheme="minorHAnsi" w:eastAsiaTheme="minorHAnsi" w:hAnsiTheme="minorHAnsi" w:cs="Shruti"/>
                <w:bCs/>
                <w:sz w:val="22"/>
                <w:szCs w:val="22"/>
                <w:lang w:val="en-GB"/>
              </w:rPr>
              <w:t>Compliance Manager</w:t>
            </w:r>
          </w:p>
          <w:p w14:paraId="6698C191" w14:textId="3EFAAB88" w:rsidR="00D40D97" w:rsidRPr="00C93A1F" w:rsidRDefault="00D40D97" w:rsidP="00317986">
            <w:pPr>
              <w:spacing w:after="0" w:line="240" w:lineRule="auto"/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</w:pPr>
            <w:r w:rsidRPr="00C93A1F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>Reporting</w:t>
            </w:r>
            <w:r w:rsidRPr="00C93A1F"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  <w:t xml:space="preserve"> </w:t>
            </w:r>
            <w:r w:rsidRPr="00C93A1F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>To</w:t>
            </w:r>
            <w:r w:rsidRPr="00C93A1F"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  <w:t xml:space="preserve">: </w:t>
            </w:r>
            <w:r w:rsidR="0082442A"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  <w:t>Senior Compliance Manager</w:t>
            </w:r>
          </w:p>
          <w:p w14:paraId="6698C192" w14:textId="4A7C4506" w:rsidR="00D40D97" w:rsidRPr="00C93A1F" w:rsidRDefault="00D40D97" w:rsidP="00317986">
            <w:pPr>
              <w:spacing w:after="0" w:line="240" w:lineRule="auto"/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</w:pPr>
            <w:r w:rsidRPr="00C93A1F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>Location</w:t>
            </w:r>
            <w:r w:rsidRPr="00C93A1F"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  <w:t xml:space="preserve">: </w:t>
            </w:r>
            <w:r w:rsidR="00953EEA">
              <w:rPr>
                <w:rFonts w:asciiTheme="minorHAnsi" w:eastAsiaTheme="minorHAnsi" w:hAnsiTheme="minorHAnsi" w:cs="Shruti"/>
                <w:sz w:val="22"/>
                <w:szCs w:val="22"/>
                <w:lang w:val="en-GB"/>
              </w:rPr>
              <w:t>Flexible</w:t>
            </w:r>
          </w:p>
          <w:p w14:paraId="6698C193" w14:textId="77777777" w:rsidR="002645BE" w:rsidRPr="00C93A1F" w:rsidRDefault="002645BE" w:rsidP="00317986">
            <w:pPr>
              <w:spacing w:after="0" w:line="240" w:lineRule="auto"/>
              <w:rPr>
                <w:rFonts w:asciiTheme="minorHAnsi" w:eastAsiaTheme="minorHAnsi" w:hAnsiTheme="minorHAnsi" w:cs="Shruti"/>
                <w:i/>
                <w:sz w:val="22"/>
                <w:szCs w:val="22"/>
                <w:lang w:val="en-GB"/>
              </w:rPr>
            </w:pPr>
          </w:p>
        </w:tc>
      </w:tr>
      <w:tr w:rsidR="002645BE" w:rsidRPr="00D40D97" w14:paraId="6698C1AB" w14:textId="77777777" w:rsidTr="00D40D97">
        <w:trPr>
          <w:trHeight w:val="1344"/>
        </w:trPr>
        <w:tc>
          <w:tcPr>
            <w:tcW w:w="1386" w:type="dxa"/>
          </w:tcPr>
          <w:p w14:paraId="6698C19A" w14:textId="77777777" w:rsidR="002645BE" w:rsidRPr="00C93A1F" w:rsidRDefault="002645BE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</w:pPr>
          </w:p>
          <w:p w14:paraId="6698C19B" w14:textId="77777777" w:rsidR="002645BE" w:rsidRPr="00C93A1F" w:rsidRDefault="000A063A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</w:pPr>
            <w:r w:rsidRPr="00C93A1F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 xml:space="preserve">Job </w:t>
            </w:r>
            <w:r w:rsidR="002645BE" w:rsidRPr="00C93A1F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>Description</w:t>
            </w:r>
          </w:p>
          <w:p w14:paraId="6698C19C" w14:textId="77777777" w:rsidR="002645BE" w:rsidRPr="00C93A1F" w:rsidRDefault="002645BE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</w:pPr>
          </w:p>
        </w:tc>
        <w:tc>
          <w:tcPr>
            <w:tcW w:w="9813" w:type="dxa"/>
          </w:tcPr>
          <w:p w14:paraId="6698C19D" w14:textId="77777777" w:rsidR="002645BE" w:rsidRPr="0082442A" w:rsidRDefault="002645BE" w:rsidP="00317986">
            <w:pPr>
              <w:spacing w:after="0" w:line="240" w:lineRule="auto"/>
              <w:rPr>
                <w:rFonts w:asciiTheme="minorHAnsi" w:eastAsiaTheme="minorHAnsi" w:hAnsiTheme="minorHAnsi" w:cs="Shruti"/>
                <w:i/>
                <w:sz w:val="22"/>
                <w:szCs w:val="22"/>
                <w:lang w:val="en-GB"/>
              </w:rPr>
            </w:pPr>
          </w:p>
          <w:p w14:paraId="6698C19E" w14:textId="77777777" w:rsidR="00D40D97" w:rsidRPr="0082442A" w:rsidRDefault="00D40D97" w:rsidP="00317986">
            <w:pPr>
              <w:spacing w:after="0" w:line="240" w:lineRule="auto"/>
              <w:contextualSpacing/>
              <w:rPr>
                <w:rFonts w:asciiTheme="minorHAnsi" w:eastAsiaTheme="minorHAnsi" w:hAnsiTheme="minorHAnsi" w:cs="Shruti"/>
                <w:b/>
                <w:i/>
                <w:sz w:val="22"/>
                <w:szCs w:val="22"/>
                <w:lang w:val="en-GB"/>
              </w:rPr>
            </w:pPr>
            <w:r w:rsidRPr="0082442A">
              <w:rPr>
                <w:rFonts w:asciiTheme="minorHAnsi" w:eastAsiaTheme="minorHAnsi" w:hAnsiTheme="minorHAnsi" w:cs="Shruti"/>
                <w:b/>
                <w:i/>
                <w:sz w:val="22"/>
                <w:szCs w:val="22"/>
                <w:lang w:val="en-GB"/>
              </w:rPr>
              <w:t>Job Purpose</w:t>
            </w:r>
          </w:p>
          <w:p w14:paraId="2FE2DD31" w14:textId="7EA4C51C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rFonts w:ascii="Calibri" w:hAnsi="Calibri" w:cs="Calibri"/>
                <w:sz w:val="22"/>
              </w:rPr>
              <w:t xml:space="preserve">To maintain a regulatory risk management framework to ensure that the </w:t>
            </w:r>
            <w:r w:rsidR="001519DB">
              <w:rPr>
                <w:rFonts w:ascii="Calibri" w:hAnsi="Calibri" w:cs="Calibri"/>
                <w:sz w:val="22"/>
              </w:rPr>
              <w:t>allocated</w:t>
            </w:r>
            <w:r w:rsidR="00F97642">
              <w:rPr>
                <w:rFonts w:ascii="Calibri" w:hAnsi="Calibri" w:cs="Calibri"/>
                <w:sz w:val="22"/>
              </w:rPr>
              <w:t xml:space="preserve"> business unit(s) (e.g. </w:t>
            </w:r>
            <w:r w:rsidRPr="0082442A">
              <w:rPr>
                <w:rFonts w:ascii="Calibri" w:hAnsi="Calibri" w:cs="Calibri"/>
                <w:sz w:val="22"/>
              </w:rPr>
              <w:t xml:space="preserve">Retail </w:t>
            </w:r>
            <w:r w:rsidR="00755BB0">
              <w:rPr>
                <w:rFonts w:ascii="Calibri" w:hAnsi="Calibri" w:cs="Calibri"/>
                <w:sz w:val="22"/>
              </w:rPr>
              <w:t>Finance</w:t>
            </w:r>
            <w:r w:rsidR="00F97642">
              <w:rPr>
                <w:rFonts w:ascii="Calibri" w:hAnsi="Calibri" w:cs="Calibri"/>
                <w:sz w:val="22"/>
              </w:rPr>
              <w:t>/Banking/Vehicle Finance)</w:t>
            </w:r>
            <w:r w:rsidRPr="0082442A">
              <w:rPr>
                <w:rFonts w:ascii="Calibri" w:hAnsi="Calibri" w:cs="Calibri"/>
                <w:sz w:val="22"/>
              </w:rPr>
              <w:t xml:space="preserve"> function complies with all regulatory requirements, in particular those of the FCA  and other regulatory bodies. </w:t>
            </w:r>
          </w:p>
          <w:p w14:paraId="6698C19F" w14:textId="77777777" w:rsidR="007C5CA5" w:rsidRPr="0082442A" w:rsidRDefault="007C5CA5" w:rsidP="00317986">
            <w:pPr>
              <w:spacing w:after="0" w:line="240" w:lineRule="auto"/>
              <w:contextualSpacing/>
              <w:rPr>
                <w:rFonts w:asciiTheme="minorHAnsi" w:eastAsiaTheme="minorHAnsi" w:hAnsiTheme="minorHAnsi" w:cs="Shruti"/>
                <w:b/>
                <w:i/>
                <w:sz w:val="22"/>
                <w:szCs w:val="22"/>
                <w:lang w:val="en-GB"/>
              </w:rPr>
            </w:pPr>
          </w:p>
          <w:p w14:paraId="6698C1A1" w14:textId="77777777" w:rsidR="00D40D97" w:rsidRPr="0082442A" w:rsidRDefault="009557A7" w:rsidP="00317986">
            <w:pPr>
              <w:spacing w:after="0" w:line="240" w:lineRule="auto"/>
              <w:contextualSpacing/>
              <w:rPr>
                <w:rFonts w:asciiTheme="minorHAnsi" w:eastAsiaTheme="minorHAnsi" w:hAnsiTheme="minorHAnsi" w:cs="Shruti"/>
                <w:b/>
                <w:i/>
                <w:sz w:val="22"/>
                <w:szCs w:val="22"/>
                <w:lang w:val="en-GB"/>
              </w:rPr>
            </w:pPr>
            <w:r w:rsidRPr="0082442A">
              <w:rPr>
                <w:rFonts w:asciiTheme="minorHAnsi" w:eastAsiaTheme="minorHAnsi" w:hAnsiTheme="minorHAnsi" w:cs="Shruti"/>
                <w:b/>
                <w:i/>
                <w:sz w:val="22"/>
                <w:szCs w:val="22"/>
                <w:lang w:val="en-GB"/>
              </w:rPr>
              <w:t>Key Responsibilities</w:t>
            </w:r>
          </w:p>
          <w:p w14:paraId="0F71FE4A" w14:textId="77777777" w:rsidR="0082442A" w:rsidRPr="0082442A" w:rsidRDefault="0082442A" w:rsidP="0082442A">
            <w:pPr>
              <w:spacing w:after="0"/>
              <w:ind w:left="360"/>
              <w:rPr>
                <w:sz w:val="22"/>
                <w:szCs w:val="22"/>
              </w:rPr>
            </w:pPr>
            <w:r w:rsidRPr="0082442A">
              <w:rPr>
                <w:b/>
                <w:sz w:val="22"/>
                <w:szCs w:val="22"/>
              </w:rPr>
              <w:t>Reporting</w:t>
            </w:r>
            <w:r w:rsidRPr="0082442A">
              <w:rPr>
                <w:sz w:val="22"/>
                <w:szCs w:val="22"/>
              </w:rPr>
              <w:t>:</w:t>
            </w:r>
          </w:p>
          <w:p w14:paraId="233523B1" w14:textId="5CAF2B91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82442A">
              <w:rPr>
                <w:sz w:val="22"/>
              </w:rPr>
              <w:t xml:space="preserve">Provide regular reports and management information to the Chief Compliance Officer, relevant committees and senior management on regulatory </w:t>
            </w:r>
            <w:r w:rsidR="00755BB0">
              <w:rPr>
                <w:sz w:val="22"/>
              </w:rPr>
              <w:t xml:space="preserve">risk </w:t>
            </w:r>
            <w:r w:rsidRPr="0082442A">
              <w:rPr>
                <w:sz w:val="22"/>
              </w:rPr>
              <w:t xml:space="preserve">and compliance matters relevant to the </w:t>
            </w:r>
            <w:r w:rsidR="00A97491">
              <w:rPr>
                <w:sz w:val="22"/>
              </w:rPr>
              <w:t xml:space="preserve">allocated business </w:t>
            </w:r>
            <w:r w:rsidRPr="0082442A">
              <w:rPr>
                <w:sz w:val="22"/>
              </w:rPr>
              <w:t>function</w:t>
            </w:r>
            <w:r w:rsidR="00A97491">
              <w:rPr>
                <w:sz w:val="22"/>
              </w:rPr>
              <w:t>(s)</w:t>
            </w:r>
            <w:r w:rsidRPr="0082442A">
              <w:rPr>
                <w:sz w:val="22"/>
              </w:rPr>
              <w:t xml:space="preserve">. This includes giving second line assurance that the business is </w:t>
            </w:r>
            <w:r w:rsidR="00755BB0">
              <w:rPr>
                <w:sz w:val="22"/>
              </w:rPr>
              <w:t>delivering</w:t>
            </w:r>
            <w:r w:rsidRPr="0082442A">
              <w:rPr>
                <w:sz w:val="22"/>
              </w:rPr>
              <w:t xml:space="preserve"> </w:t>
            </w:r>
            <w:r w:rsidR="00755BB0">
              <w:rPr>
                <w:sz w:val="22"/>
              </w:rPr>
              <w:t>good</w:t>
            </w:r>
            <w:r w:rsidRPr="0082442A">
              <w:rPr>
                <w:sz w:val="22"/>
              </w:rPr>
              <w:t xml:space="preserve"> outcomes for customers and meeting its regulatory objectives, and raising any significant issues, concerns or regulatory breaches.</w:t>
            </w:r>
            <w:r w:rsidRPr="0082442A">
              <w:rPr>
                <w:b/>
                <w:sz w:val="22"/>
              </w:rPr>
              <w:t xml:space="preserve"> </w:t>
            </w:r>
          </w:p>
          <w:p w14:paraId="48A709BA" w14:textId="77777777" w:rsidR="0082442A" w:rsidRPr="0082442A" w:rsidRDefault="0082442A" w:rsidP="0082442A">
            <w:pPr>
              <w:spacing w:after="0"/>
              <w:ind w:left="357"/>
              <w:rPr>
                <w:b/>
                <w:sz w:val="22"/>
                <w:szCs w:val="22"/>
              </w:rPr>
            </w:pPr>
          </w:p>
          <w:p w14:paraId="4B2D08E6" w14:textId="77777777" w:rsidR="0082442A" w:rsidRPr="0082442A" w:rsidRDefault="0082442A" w:rsidP="0082442A">
            <w:pPr>
              <w:spacing w:after="0"/>
              <w:ind w:left="357"/>
              <w:rPr>
                <w:sz w:val="22"/>
                <w:szCs w:val="22"/>
              </w:rPr>
            </w:pPr>
            <w:r w:rsidRPr="0082442A">
              <w:rPr>
                <w:b/>
                <w:sz w:val="22"/>
                <w:szCs w:val="22"/>
              </w:rPr>
              <w:t>Advisory</w:t>
            </w:r>
            <w:r w:rsidRPr="0082442A">
              <w:rPr>
                <w:sz w:val="22"/>
                <w:szCs w:val="22"/>
              </w:rPr>
              <w:t>:</w:t>
            </w:r>
          </w:p>
          <w:p w14:paraId="19BB41B7" w14:textId="1A70DC6A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sz w:val="22"/>
              </w:rPr>
              <w:t xml:space="preserve">Provide guidance on the proper application and interpretation of laws, regulations and policies applicable to </w:t>
            </w:r>
            <w:r w:rsidR="00DC0877">
              <w:rPr>
                <w:sz w:val="22"/>
              </w:rPr>
              <w:t>the allocated business function(s)</w:t>
            </w:r>
            <w:r w:rsidRPr="0082442A">
              <w:rPr>
                <w:sz w:val="22"/>
              </w:rPr>
              <w:t xml:space="preserve"> products and</w:t>
            </w:r>
            <w:r w:rsidR="00DC0877">
              <w:rPr>
                <w:sz w:val="22"/>
              </w:rPr>
              <w:t>/or</w:t>
            </w:r>
            <w:r w:rsidRPr="0082442A">
              <w:rPr>
                <w:sz w:val="22"/>
              </w:rPr>
              <w:t xml:space="preserve"> services. These include rules, guidance documents, codes of conduct and internal policies designed to meet regulatory compliance.</w:t>
            </w:r>
          </w:p>
          <w:p w14:paraId="3FD4BB02" w14:textId="7D680BB8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sz w:val="22"/>
              </w:rPr>
              <w:t xml:space="preserve">Analyse and communicate regulatory changes relevant to </w:t>
            </w:r>
            <w:r w:rsidR="00DC0877">
              <w:rPr>
                <w:sz w:val="22"/>
              </w:rPr>
              <w:t>the allocated business unit(s)</w:t>
            </w:r>
            <w:r w:rsidRPr="0082442A">
              <w:rPr>
                <w:sz w:val="22"/>
              </w:rPr>
              <w:t xml:space="preserve">ensuring the business remains compliant with </w:t>
            </w:r>
            <w:r w:rsidR="00DC0877">
              <w:rPr>
                <w:sz w:val="22"/>
              </w:rPr>
              <w:t xml:space="preserve">all relevant </w:t>
            </w:r>
            <w:r w:rsidRPr="0082442A">
              <w:rPr>
                <w:sz w:val="22"/>
              </w:rPr>
              <w:t>regulatory requirements (including</w:t>
            </w:r>
            <w:r w:rsidR="00DC0877">
              <w:rPr>
                <w:sz w:val="22"/>
              </w:rPr>
              <w:t xml:space="preserve"> but not limited to</w:t>
            </w:r>
            <w:r w:rsidRPr="0082442A">
              <w:rPr>
                <w:sz w:val="22"/>
              </w:rPr>
              <w:t xml:space="preserve"> the FCA Principles for Business, relevant FCA sourcebooks, data protection regulation</w:t>
            </w:r>
            <w:r w:rsidR="00DC0877">
              <w:rPr>
                <w:sz w:val="22"/>
              </w:rPr>
              <w:t>, etc.</w:t>
            </w:r>
            <w:r w:rsidRPr="0082442A">
              <w:rPr>
                <w:sz w:val="22"/>
              </w:rPr>
              <w:t>). Provide advice on remedial steps.</w:t>
            </w:r>
          </w:p>
          <w:p w14:paraId="5F171809" w14:textId="1B96860F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sz w:val="22"/>
              </w:rPr>
              <w:t xml:space="preserve">Review and sign off Financial Promotions and customer literature for </w:t>
            </w:r>
            <w:r w:rsidR="00C16E0B">
              <w:rPr>
                <w:sz w:val="22"/>
              </w:rPr>
              <w:t>the allocated business unit(s)</w:t>
            </w:r>
            <w:r w:rsidRPr="0082442A">
              <w:rPr>
                <w:sz w:val="22"/>
              </w:rPr>
              <w:t>.</w:t>
            </w:r>
          </w:p>
          <w:p w14:paraId="14020915" w14:textId="4E7B4083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rFonts w:cs="ArialMT"/>
                <w:color w:val="262626"/>
                <w:sz w:val="22"/>
              </w:rPr>
              <w:t xml:space="preserve">Contribute to discussions on new project activities, new business development and/or commercial initiatives providing </w:t>
            </w:r>
            <w:r w:rsidR="00755BB0">
              <w:rPr>
                <w:rFonts w:cs="ArialMT"/>
                <w:color w:val="262626"/>
                <w:sz w:val="22"/>
              </w:rPr>
              <w:t>regulatory risk management</w:t>
            </w:r>
            <w:r w:rsidRPr="0082442A">
              <w:rPr>
                <w:rFonts w:cs="ArialMT"/>
                <w:color w:val="262626"/>
                <w:sz w:val="22"/>
              </w:rPr>
              <w:t xml:space="preserve"> expertise and advice ensuring regulatory requirements can be met.</w:t>
            </w:r>
          </w:p>
          <w:p w14:paraId="2D232F1D" w14:textId="301898A7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sz w:val="22"/>
              </w:rPr>
              <w:t>Ensure all Compliance</w:t>
            </w:r>
            <w:r w:rsidR="00755BB0">
              <w:rPr>
                <w:sz w:val="22"/>
              </w:rPr>
              <w:t>-owned</w:t>
            </w:r>
            <w:r w:rsidRPr="0082442A">
              <w:rPr>
                <w:sz w:val="22"/>
              </w:rPr>
              <w:t xml:space="preserve"> policies and procedures are kept up to date. </w:t>
            </w:r>
          </w:p>
          <w:p w14:paraId="39D34620" w14:textId="77777777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sz w:val="22"/>
              </w:rPr>
              <w:t>Provide first line business managers with guidance on the development, implementation and maintenance of robust policies, procedures and practices for regulated activities.</w:t>
            </w:r>
          </w:p>
          <w:p w14:paraId="79360440" w14:textId="02F33CDF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rFonts w:cs="ArialMT"/>
                <w:color w:val="262626"/>
                <w:sz w:val="22"/>
              </w:rPr>
              <w:t xml:space="preserve">Contribute to the regulatory risk assessment process for </w:t>
            </w:r>
            <w:r w:rsidR="00273DF5">
              <w:rPr>
                <w:rFonts w:cs="ArialMT"/>
                <w:color w:val="262626"/>
                <w:sz w:val="22"/>
              </w:rPr>
              <w:t>the allocated business unit(s)</w:t>
            </w:r>
            <w:r w:rsidRPr="0082442A">
              <w:rPr>
                <w:rFonts w:cs="ArialMT"/>
                <w:color w:val="262626"/>
                <w:sz w:val="22"/>
              </w:rPr>
              <w:t>, ensuring regulatory risks are appropriately assessed and managed by relevant operational management in the first line of defence.</w:t>
            </w:r>
          </w:p>
          <w:p w14:paraId="284E0828" w14:textId="148E68C7" w:rsid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sz w:val="22"/>
              </w:rPr>
              <w:t xml:space="preserve">Ensure conflicts of interest within the </w:t>
            </w:r>
            <w:r w:rsidR="00B02AEE">
              <w:rPr>
                <w:sz w:val="22"/>
              </w:rPr>
              <w:t>allocated business unit(s)</w:t>
            </w:r>
            <w:r w:rsidRPr="0082442A">
              <w:rPr>
                <w:sz w:val="22"/>
              </w:rPr>
              <w:t xml:space="preserve"> are appropriately managed.</w:t>
            </w:r>
          </w:p>
          <w:p w14:paraId="164C29D7" w14:textId="42372007" w:rsidR="001F25FD" w:rsidRPr="006A5E85" w:rsidRDefault="008F4065" w:rsidP="001F25F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Attend relevant business unit Committees and Forums, providing input and challenge to ensure regulatory compliance is considered at all times</w:t>
            </w:r>
          </w:p>
          <w:p w14:paraId="61551970" w14:textId="4D69BBCA" w:rsidR="001F25FD" w:rsidRPr="0082442A" w:rsidRDefault="001F25FD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Actively monitor regulatory incidents and ensure</w:t>
            </w:r>
            <w:r w:rsidR="003D7FC0">
              <w:rPr>
                <w:sz w:val="22"/>
              </w:rPr>
              <w:t xml:space="preserve"> </w:t>
            </w:r>
            <w:r>
              <w:rPr>
                <w:sz w:val="22"/>
              </w:rPr>
              <w:t>remedial action taken provides good customer outcomes</w:t>
            </w:r>
          </w:p>
          <w:p w14:paraId="549BB894" w14:textId="77777777" w:rsidR="0082442A" w:rsidRPr="0082442A" w:rsidRDefault="0082442A" w:rsidP="008244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2442A">
              <w:rPr>
                <w:sz w:val="22"/>
              </w:rPr>
              <w:t xml:space="preserve">Assist the wider Compliance team with regulatory initiatives and inter departmental projects and activities as required. </w:t>
            </w:r>
          </w:p>
          <w:p w14:paraId="7504DBA1" w14:textId="77777777" w:rsidR="0082442A" w:rsidRPr="0082442A" w:rsidRDefault="0082442A" w:rsidP="0082442A">
            <w:pPr>
              <w:spacing w:after="0"/>
              <w:ind w:left="357"/>
              <w:rPr>
                <w:b/>
                <w:sz w:val="22"/>
                <w:szCs w:val="22"/>
              </w:rPr>
            </w:pPr>
          </w:p>
          <w:p w14:paraId="566AB5D5" w14:textId="77777777" w:rsidR="0082442A" w:rsidRPr="0082442A" w:rsidRDefault="0082442A" w:rsidP="0082442A">
            <w:pPr>
              <w:spacing w:after="0"/>
              <w:ind w:left="357"/>
              <w:rPr>
                <w:b/>
                <w:sz w:val="22"/>
                <w:szCs w:val="22"/>
              </w:rPr>
            </w:pPr>
            <w:r w:rsidRPr="0082442A">
              <w:rPr>
                <w:b/>
                <w:sz w:val="22"/>
                <w:szCs w:val="22"/>
              </w:rPr>
              <w:lastRenderedPageBreak/>
              <w:t>Training:</w:t>
            </w:r>
          </w:p>
          <w:p w14:paraId="56CEA071" w14:textId="275D4ADF" w:rsidR="0082442A" w:rsidRPr="0082442A" w:rsidRDefault="0082442A" w:rsidP="0082442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82442A">
              <w:rPr>
                <w:sz w:val="22"/>
              </w:rPr>
              <w:t>Deliver training to new starters and other colleagues on regulatory compliance.</w:t>
            </w:r>
          </w:p>
          <w:p w14:paraId="6698C1A5" w14:textId="4FEDF6C0" w:rsidR="007C5CA5" w:rsidRPr="0082442A" w:rsidRDefault="0082442A" w:rsidP="0082442A">
            <w:pPr>
              <w:pStyle w:val="ListParagraph"/>
              <w:numPr>
                <w:ilvl w:val="0"/>
                <w:numId w:val="12"/>
              </w:numPr>
              <w:rPr>
                <w:rFonts w:cs="Shruti"/>
                <w:sz w:val="22"/>
              </w:rPr>
            </w:pPr>
            <w:r w:rsidRPr="0082442A">
              <w:rPr>
                <w:sz w:val="22"/>
              </w:rPr>
              <w:t>Assist in the development of an effective internal compliance culture by promoting the benefits of ethical business conduct.</w:t>
            </w:r>
          </w:p>
          <w:p w14:paraId="6698C1AA" w14:textId="77777777" w:rsidR="00E801E4" w:rsidRPr="0082442A" w:rsidRDefault="00E801E4" w:rsidP="0082442A">
            <w:pPr>
              <w:rPr>
                <w:rFonts w:cs="Shruti"/>
                <w:sz w:val="22"/>
                <w:szCs w:val="22"/>
              </w:rPr>
            </w:pPr>
          </w:p>
        </w:tc>
      </w:tr>
      <w:tr w:rsidR="00D40D97" w:rsidRPr="00D40D97" w14:paraId="6698C1BA" w14:textId="77777777" w:rsidTr="00D40D97">
        <w:trPr>
          <w:trHeight w:val="1344"/>
        </w:trPr>
        <w:tc>
          <w:tcPr>
            <w:tcW w:w="1386" w:type="dxa"/>
          </w:tcPr>
          <w:p w14:paraId="6698C1AC" w14:textId="77777777" w:rsidR="00D40D97" w:rsidRPr="00C93A1F" w:rsidRDefault="00D40D97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</w:pPr>
          </w:p>
          <w:p w14:paraId="6698C1AD" w14:textId="77777777" w:rsidR="00D40D97" w:rsidRPr="00C93A1F" w:rsidRDefault="00D40D97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</w:pPr>
            <w:r w:rsidRPr="00C93A1F"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  <w:t>Specification</w:t>
            </w:r>
          </w:p>
          <w:p w14:paraId="6698C1AE" w14:textId="77777777" w:rsidR="00D40D97" w:rsidRPr="00C93A1F" w:rsidRDefault="00D40D97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sz w:val="22"/>
                <w:szCs w:val="22"/>
                <w:lang w:val="en-GB"/>
              </w:rPr>
            </w:pPr>
          </w:p>
        </w:tc>
        <w:tc>
          <w:tcPr>
            <w:tcW w:w="9813" w:type="dxa"/>
          </w:tcPr>
          <w:p w14:paraId="6698C1AF" w14:textId="77777777" w:rsidR="00D40D97" w:rsidRPr="0082442A" w:rsidRDefault="00D40D97" w:rsidP="00317986">
            <w:pPr>
              <w:spacing w:after="0" w:line="240" w:lineRule="auto"/>
              <w:rPr>
                <w:rFonts w:asciiTheme="minorHAnsi" w:eastAsiaTheme="minorHAnsi" w:hAnsiTheme="minorHAnsi" w:cs="Shruti"/>
                <w:i/>
                <w:sz w:val="22"/>
                <w:szCs w:val="22"/>
                <w:lang w:val="en-GB"/>
              </w:rPr>
            </w:pPr>
          </w:p>
          <w:p w14:paraId="6698C1B0" w14:textId="77777777" w:rsidR="00ED52EC" w:rsidRPr="0082442A" w:rsidRDefault="00D40D97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i/>
                <w:sz w:val="22"/>
                <w:szCs w:val="22"/>
                <w:lang w:val="en-GB"/>
              </w:rPr>
            </w:pPr>
            <w:r w:rsidRPr="0082442A">
              <w:rPr>
                <w:rFonts w:asciiTheme="minorHAnsi" w:eastAsiaTheme="minorHAnsi" w:hAnsiTheme="minorHAnsi" w:cs="Shruti"/>
                <w:b/>
                <w:i/>
                <w:sz w:val="22"/>
                <w:szCs w:val="22"/>
                <w:lang w:val="en-GB"/>
              </w:rPr>
              <w:t>Knowledge, experience, skills, other attributes</w:t>
            </w:r>
          </w:p>
          <w:p w14:paraId="46A1D042" w14:textId="2AC6AFA6" w:rsidR="0082442A" w:rsidRPr="0082442A" w:rsidRDefault="0082442A" w:rsidP="001002F0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2442A">
              <w:rPr>
                <w:sz w:val="22"/>
              </w:rPr>
              <w:t xml:space="preserve">Detailed knowledge and experience of  </w:t>
            </w:r>
            <w:r w:rsidR="00953EEA">
              <w:rPr>
                <w:sz w:val="22"/>
              </w:rPr>
              <w:t xml:space="preserve">Financial services and UK banking </w:t>
            </w:r>
            <w:r w:rsidRPr="0082442A">
              <w:rPr>
                <w:sz w:val="22"/>
              </w:rPr>
              <w:t>regulatory compliance and FCA handbook (</w:t>
            </w:r>
            <w:r w:rsidR="00755BB0">
              <w:rPr>
                <w:sz w:val="22"/>
              </w:rPr>
              <w:t>CONC, DISP, etc</w:t>
            </w:r>
            <w:r w:rsidRPr="0082442A">
              <w:rPr>
                <w:sz w:val="22"/>
              </w:rPr>
              <w:t>).</w:t>
            </w:r>
          </w:p>
          <w:p w14:paraId="6698C1B1" w14:textId="395CDA91" w:rsidR="007C5CA5" w:rsidRPr="001002F0" w:rsidRDefault="0082442A" w:rsidP="001002F0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2442A">
              <w:rPr>
                <w:sz w:val="22"/>
              </w:rPr>
              <w:t>Sound knowledge and insight into the operations of the FCA and other relevant regulatory authorities.</w:t>
            </w:r>
          </w:p>
          <w:p w14:paraId="2B1FC626" w14:textId="36CA4D60" w:rsidR="001002F0" w:rsidRDefault="001002F0" w:rsidP="001002F0">
            <w:pPr>
              <w:pStyle w:val="ListParagraph"/>
              <w:numPr>
                <w:ilvl w:val="0"/>
                <w:numId w:val="11"/>
              </w:numPr>
              <w:rPr>
                <w:rFonts w:cs="Shruti"/>
                <w:sz w:val="22"/>
              </w:rPr>
            </w:pPr>
            <w:r>
              <w:rPr>
                <w:rFonts w:cs="Shruti"/>
                <w:sz w:val="22"/>
              </w:rPr>
              <w:t>Strong planning, insight and judgement required.</w:t>
            </w:r>
          </w:p>
          <w:p w14:paraId="3A90B88A" w14:textId="02CF5752" w:rsidR="001002F0" w:rsidRDefault="001002F0" w:rsidP="001002F0">
            <w:pPr>
              <w:pStyle w:val="ListParagraph"/>
              <w:numPr>
                <w:ilvl w:val="0"/>
                <w:numId w:val="11"/>
              </w:numPr>
              <w:rPr>
                <w:rFonts w:cs="Shruti"/>
                <w:sz w:val="22"/>
              </w:rPr>
            </w:pPr>
            <w:r>
              <w:rPr>
                <w:rFonts w:cs="Shruti"/>
                <w:sz w:val="22"/>
              </w:rPr>
              <w:t>Excellent communication skills with effective engagement up to Exec level.</w:t>
            </w:r>
          </w:p>
          <w:p w14:paraId="0B196E2F" w14:textId="5723AE8B" w:rsidR="001002F0" w:rsidRDefault="001002F0" w:rsidP="001002F0">
            <w:pPr>
              <w:pStyle w:val="ListParagraph"/>
              <w:numPr>
                <w:ilvl w:val="0"/>
                <w:numId w:val="11"/>
              </w:numPr>
              <w:rPr>
                <w:rFonts w:cs="Shruti"/>
                <w:sz w:val="22"/>
              </w:rPr>
            </w:pPr>
            <w:r>
              <w:rPr>
                <w:rFonts w:cs="Shruti"/>
                <w:sz w:val="22"/>
              </w:rPr>
              <w:t>Strong stakeholder management skills and ability to influence and instigate change up to Exec level.</w:t>
            </w:r>
          </w:p>
          <w:p w14:paraId="3A39D0B5" w14:textId="77777777" w:rsidR="001002F0" w:rsidRPr="0082442A" w:rsidRDefault="001002F0" w:rsidP="001D5DD7">
            <w:pPr>
              <w:pStyle w:val="ListParagraph"/>
              <w:rPr>
                <w:i/>
                <w:sz w:val="22"/>
              </w:rPr>
            </w:pPr>
          </w:p>
          <w:p w14:paraId="6698C1B2" w14:textId="77777777" w:rsidR="00D40D97" w:rsidRPr="0082442A" w:rsidRDefault="00D40D97" w:rsidP="00317986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98C1B3" w14:textId="77777777" w:rsidR="00D40D97" w:rsidRPr="0082442A" w:rsidRDefault="00D40D97" w:rsidP="00317986">
            <w:pPr>
              <w:spacing w:after="0" w:line="240" w:lineRule="auto"/>
              <w:rPr>
                <w:rFonts w:asciiTheme="minorHAnsi" w:eastAsiaTheme="minorHAnsi" w:hAnsiTheme="minorHAnsi" w:cs="Shruti"/>
                <w:b/>
                <w:i/>
                <w:sz w:val="22"/>
                <w:szCs w:val="22"/>
                <w:lang w:val="en-GB"/>
              </w:rPr>
            </w:pPr>
            <w:r w:rsidRPr="0082442A">
              <w:rPr>
                <w:rFonts w:asciiTheme="minorHAnsi" w:eastAsiaTheme="minorHAnsi" w:hAnsiTheme="minorHAnsi" w:cs="Shruti"/>
                <w:b/>
                <w:i/>
                <w:sz w:val="22"/>
                <w:szCs w:val="22"/>
                <w:lang w:val="en-GB"/>
              </w:rPr>
              <w:t>Qualifications</w:t>
            </w:r>
          </w:p>
          <w:p w14:paraId="63E0D6A3" w14:textId="77777777" w:rsidR="0082442A" w:rsidRPr="0082442A" w:rsidRDefault="0082442A" w:rsidP="001002F0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2442A">
              <w:rPr>
                <w:sz w:val="22"/>
              </w:rPr>
              <w:t>Ideally educated to degree standard.</w:t>
            </w:r>
          </w:p>
          <w:p w14:paraId="6698C1B4" w14:textId="52BE73B2" w:rsidR="007C5CA5" w:rsidRPr="0082442A" w:rsidRDefault="0082442A" w:rsidP="001002F0">
            <w:pPr>
              <w:pStyle w:val="ListParagraph"/>
              <w:numPr>
                <w:ilvl w:val="0"/>
                <w:numId w:val="11"/>
              </w:numPr>
              <w:rPr>
                <w:rFonts w:cs="Shruti"/>
                <w:i/>
                <w:sz w:val="22"/>
              </w:rPr>
            </w:pPr>
            <w:r w:rsidRPr="0082442A">
              <w:rPr>
                <w:rFonts w:cs="Shruti"/>
                <w:sz w:val="22"/>
              </w:rPr>
              <w:t>Ideally qualified to Compliance Diploma level 4 or relevant ACIB/</w:t>
            </w:r>
            <w:proofErr w:type="spellStart"/>
            <w:r w:rsidRPr="0082442A">
              <w:rPr>
                <w:rFonts w:cs="Shruti"/>
                <w:sz w:val="22"/>
              </w:rPr>
              <w:t>LiBF</w:t>
            </w:r>
            <w:proofErr w:type="spellEnd"/>
            <w:r w:rsidRPr="0082442A">
              <w:rPr>
                <w:rFonts w:cs="Shruti"/>
                <w:sz w:val="22"/>
              </w:rPr>
              <w:t xml:space="preserve"> qualification. </w:t>
            </w:r>
          </w:p>
          <w:p w14:paraId="1725EF8D" w14:textId="77777777" w:rsidR="004B3A8F" w:rsidRPr="0082442A" w:rsidRDefault="004B3A8F" w:rsidP="00317986">
            <w:pPr>
              <w:spacing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6070F7" w14:textId="42B1C516" w:rsidR="004B3A8F" w:rsidRPr="0082442A" w:rsidRDefault="0012040C" w:rsidP="0031798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2442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Essential </w:t>
            </w:r>
            <w:proofErr w:type="spellStart"/>
            <w:r w:rsidR="004B3A8F" w:rsidRPr="0082442A">
              <w:rPr>
                <w:rFonts w:asciiTheme="minorHAnsi" w:hAnsiTheme="minorHAnsi" w:cs="Arial"/>
                <w:b/>
                <w:i/>
                <w:sz w:val="22"/>
                <w:szCs w:val="22"/>
              </w:rPr>
              <w:t>Behaviours</w:t>
            </w:r>
            <w:proofErr w:type="spellEnd"/>
            <w:r w:rsidR="004B3A8F" w:rsidRPr="0082442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</w:p>
          <w:p w14:paraId="3F34B3BA" w14:textId="1A989B4C" w:rsidR="004B3A8F" w:rsidRPr="0082442A" w:rsidRDefault="004B3A8F" w:rsidP="00100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</w:rPr>
            </w:pPr>
            <w:r w:rsidRPr="0082442A">
              <w:rPr>
                <w:rFonts w:cs="Arial"/>
                <w:sz w:val="22"/>
              </w:rPr>
              <w:t xml:space="preserve">Risk Aware – We keep our </w:t>
            </w:r>
            <w:r w:rsidR="00861C85" w:rsidRPr="0082442A">
              <w:rPr>
                <w:rFonts w:cs="Arial"/>
                <w:sz w:val="22"/>
              </w:rPr>
              <w:t>customers</w:t>
            </w:r>
            <w:r w:rsidRPr="0082442A">
              <w:rPr>
                <w:rFonts w:cs="Arial"/>
                <w:sz w:val="22"/>
              </w:rPr>
              <w:t xml:space="preserve"> and ourselves safe and secure </w:t>
            </w:r>
          </w:p>
          <w:p w14:paraId="63DFC547" w14:textId="4BDF1A5F" w:rsidR="004B3A8F" w:rsidRPr="0082442A" w:rsidRDefault="004B3A8F" w:rsidP="00100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</w:rPr>
            </w:pPr>
            <w:r w:rsidRPr="0082442A">
              <w:rPr>
                <w:rFonts w:cs="Arial"/>
                <w:sz w:val="22"/>
              </w:rPr>
              <w:t xml:space="preserve">Customer </w:t>
            </w:r>
            <w:r w:rsidR="009011A3">
              <w:rPr>
                <w:rFonts w:cs="Arial"/>
                <w:sz w:val="22"/>
              </w:rPr>
              <w:t>F</w:t>
            </w:r>
            <w:r w:rsidRPr="0082442A">
              <w:rPr>
                <w:rFonts w:cs="Arial"/>
                <w:sz w:val="22"/>
              </w:rPr>
              <w:t xml:space="preserve">ocused – Our customers are at the heart of everything we do </w:t>
            </w:r>
          </w:p>
          <w:p w14:paraId="445A8F01" w14:textId="69FC3A46" w:rsidR="004B3A8F" w:rsidRPr="0082442A" w:rsidRDefault="004B3A8F" w:rsidP="00100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</w:rPr>
            </w:pPr>
            <w:r w:rsidRPr="0082442A">
              <w:rPr>
                <w:rFonts w:cs="Arial"/>
                <w:sz w:val="22"/>
              </w:rPr>
              <w:t xml:space="preserve">Ownership – </w:t>
            </w:r>
            <w:r w:rsidR="009011A3" w:rsidRPr="00587BDC">
              <w:rPr>
                <w:rFonts w:cs="Arial"/>
                <w:sz w:val="22"/>
              </w:rPr>
              <w:t>Each of us take personal responsibility</w:t>
            </w:r>
          </w:p>
          <w:p w14:paraId="6698C1B8" w14:textId="05D264C8" w:rsidR="007C5CA5" w:rsidRPr="0082442A" w:rsidRDefault="004B3A8F" w:rsidP="00100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</w:rPr>
            </w:pPr>
            <w:r w:rsidRPr="0082442A">
              <w:rPr>
                <w:rFonts w:cs="Arial"/>
                <w:sz w:val="22"/>
              </w:rPr>
              <w:t xml:space="preserve">Performance Driven – </w:t>
            </w:r>
            <w:r w:rsidR="009011A3" w:rsidRPr="00086829">
              <w:rPr>
                <w:rFonts w:cs="Arial"/>
                <w:sz w:val="22"/>
              </w:rPr>
              <w:t>To be the most trusted specialist lender in the UK by each of us taking personal accountability for our performance</w:t>
            </w:r>
            <w:r w:rsidR="009011A3" w:rsidRPr="0082442A" w:rsidDel="009011A3">
              <w:rPr>
                <w:rFonts w:cs="Arial"/>
                <w:sz w:val="22"/>
              </w:rPr>
              <w:t xml:space="preserve"> </w:t>
            </w:r>
            <w:r w:rsidRPr="0082442A">
              <w:rPr>
                <w:rFonts w:cs="Arial"/>
                <w:sz w:val="22"/>
              </w:rPr>
              <w:t>Team</w:t>
            </w:r>
            <w:r w:rsidR="009011A3">
              <w:rPr>
                <w:rFonts w:cs="Arial"/>
                <w:sz w:val="22"/>
              </w:rPr>
              <w:t>work</w:t>
            </w:r>
            <w:r w:rsidRPr="0082442A">
              <w:rPr>
                <w:rFonts w:cs="Arial"/>
                <w:sz w:val="22"/>
              </w:rPr>
              <w:t xml:space="preserve"> – We achieve more when we work well together </w:t>
            </w:r>
          </w:p>
          <w:p w14:paraId="0583DCF3" w14:textId="58B8283D" w:rsidR="0012040C" w:rsidRPr="0082442A" w:rsidRDefault="0012040C" w:rsidP="00100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</w:rPr>
            </w:pPr>
            <w:r w:rsidRPr="0082442A">
              <w:rPr>
                <w:rFonts w:cs="Arial"/>
                <w:sz w:val="22"/>
              </w:rPr>
              <w:t xml:space="preserve">Future Oriented - </w:t>
            </w:r>
            <w:r w:rsidRPr="0082442A">
              <w:rPr>
                <w:sz w:val="22"/>
              </w:rPr>
              <w:t xml:space="preserve">Embracing change and implementing good ideas gives us the competitive </w:t>
            </w:r>
            <w:r w:rsidR="009011A3">
              <w:rPr>
                <w:rFonts w:cs="Arial"/>
                <w:sz w:val="22"/>
              </w:rPr>
              <w:t>advantage</w:t>
            </w:r>
          </w:p>
          <w:p w14:paraId="6698C1B9" w14:textId="77777777" w:rsidR="005C1464" w:rsidRPr="0082442A" w:rsidRDefault="005C1464" w:rsidP="007C5CA5">
            <w:pPr>
              <w:pStyle w:val="ListParagraph"/>
              <w:ind w:left="360"/>
              <w:jc w:val="both"/>
              <w:rPr>
                <w:rFonts w:cs="Arial"/>
                <w:sz w:val="22"/>
              </w:rPr>
            </w:pPr>
          </w:p>
        </w:tc>
      </w:tr>
    </w:tbl>
    <w:p w14:paraId="6698C1BB" w14:textId="58DEAC1A" w:rsidR="000A3866" w:rsidRPr="00D2056F" w:rsidRDefault="000A3866" w:rsidP="00317986">
      <w:pPr>
        <w:spacing w:after="0"/>
        <w:rPr>
          <w:rFonts w:asciiTheme="minorHAnsi" w:hAnsiTheme="minorHAnsi" w:cs="Shruti"/>
        </w:rPr>
      </w:pPr>
    </w:p>
    <w:sectPr w:rsidR="000A3866" w:rsidRPr="00D2056F" w:rsidSect="00472AF4">
      <w:footerReference w:type="even" r:id="rId12"/>
      <w:footerReference w:type="default" r:id="rId13"/>
      <w:footerReference w:type="first" r:id="rId14"/>
      <w:pgSz w:w="12240" w:h="15840"/>
      <w:pgMar w:top="426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1A9B" w14:textId="77777777" w:rsidR="00472AF4" w:rsidRDefault="00472AF4" w:rsidP="00576C79">
      <w:pPr>
        <w:spacing w:after="0" w:line="240" w:lineRule="auto"/>
      </w:pPr>
      <w:r>
        <w:separator/>
      </w:r>
    </w:p>
  </w:endnote>
  <w:endnote w:type="continuationSeparator" w:id="0">
    <w:p w14:paraId="28705BD7" w14:textId="77777777" w:rsidR="00472AF4" w:rsidRDefault="00472AF4" w:rsidP="0057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2678" w14:textId="5004B51E" w:rsidR="00576C79" w:rsidRDefault="00576C7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A52CB1" wp14:editId="7663EE2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 Box 3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4A798" w14:textId="7E8E355A" w:rsidR="00576C79" w:rsidRPr="00576C79" w:rsidRDefault="00576C79">
                          <w:pPr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76C79"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52C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mpany Confidenti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5B4A798" w14:textId="7E8E355A" w:rsidR="00576C79" w:rsidRPr="00576C79" w:rsidRDefault="00576C79">
                    <w:pPr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76C79"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6BC7" w14:textId="0059558D" w:rsidR="00576C79" w:rsidRDefault="00576C7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33C02F" wp14:editId="425AC04C">
              <wp:simplePos x="1147313" y="942004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4" name="Text Box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063A8" w14:textId="234BDD81" w:rsidR="00576C79" w:rsidRPr="00576C79" w:rsidRDefault="00576C79">
                          <w:pPr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76C79"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3C0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ompany Confidential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299063A8" w14:textId="234BDD81" w:rsidR="00576C79" w:rsidRPr="00576C79" w:rsidRDefault="00576C79">
                    <w:pPr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76C79"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0EA9" w14:textId="2917591B" w:rsidR="00576C79" w:rsidRDefault="00576C7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C23553" wp14:editId="4CD1A1B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 Box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4B251" w14:textId="62E9A910" w:rsidR="00576C79" w:rsidRPr="00576C79" w:rsidRDefault="00576C79">
                          <w:pPr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76C79"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235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ompany Confidenti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774B251" w14:textId="62E9A910" w:rsidR="00576C79" w:rsidRPr="00576C79" w:rsidRDefault="00576C79">
                    <w:pPr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76C79"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06B1" w14:textId="77777777" w:rsidR="00472AF4" w:rsidRDefault="00472AF4" w:rsidP="00576C79">
      <w:pPr>
        <w:spacing w:after="0" w:line="240" w:lineRule="auto"/>
      </w:pPr>
      <w:r>
        <w:separator/>
      </w:r>
    </w:p>
  </w:footnote>
  <w:footnote w:type="continuationSeparator" w:id="0">
    <w:p w14:paraId="27114B68" w14:textId="77777777" w:rsidR="00472AF4" w:rsidRDefault="00472AF4" w:rsidP="0057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B729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7488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BFA7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E08F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E572E"/>
    <w:multiLevelType w:val="hybridMultilevel"/>
    <w:tmpl w:val="7C22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5879"/>
    <w:multiLevelType w:val="hybridMultilevel"/>
    <w:tmpl w:val="ABE0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73A"/>
    <w:multiLevelType w:val="hybridMultilevel"/>
    <w:tmpl w:val="1C6A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73B"/>
    <w:multiLevelType w:val="hybridMultilevel"/>
    <w:tmpl w:val="98E2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85F80"/>
    <w:multiLevelType w:val="hybridMultilevel"/>
    <w:tmpl w:val="05280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9629E"/>
    <w:multiLevelType w:val="hybridMultilevel"/>
    <w:tmpl w:val="0B7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0EAE"/>
    <w:multiLevelType w:val="hybridMultilevel"/>
    <w:tmpl w:val="B610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91F34"/>
    <w:multiLevelType w:val="hybridMultilevel"/>
    <w:tmpl w:val="71FC4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F7C6F"/>
    <w:multiLevelType w:val="hybridMultilevel"/>
    <w:tmpl w:val="F3465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137855">
    <w:abstractNumId w:val="7"/>
  </w:num>
  <w:num w:numId="2" w16cid:durableId="1055161893">
    <w:abstractNumId w:val="4"/>
  </w:num>
  <w:num w:numId="3" w16cid:durableId="2055692758">
    <w:abstractNumId w:val="5"/>
  </w:num>
  <w:num w:numId="4" w16cid:durableId="246428654">
    <w:abstractNumId w:val="6"/>
  </w:num>
  <w:num w:numId="5" w16cid:durableId="653681083">
    <w:abstractNumId w:val="9"/>
  </w:num>
  <w:num w:numId="6" w16cid:durableId="447548806">
    <w:abstractNumId w:val="12"/>
  </w:num>
  <w:num w:numId="7" w16cid:durableId="1819571079">
    <w:abstractNumId w:val="3"/>
  </w:num>
  <w:num w:numId="8" w16cid:durableId="1952516026">
    <w:abstractNumId w:val="2"/>
  </w:num>
  <w:num w:numId="9" w16cid:durableId="1152407400">
    <w:abstractNumId w:val="1"/>
  </w:num>
  <w:num w:numId="10" w16cid:durableId="1456291738">
    <w:abstractNumId w:val="0"/>
  </w:num>
  <w:num w:numId="11" w16cid:durableId="1561477013">
    <w:abstractNumId w:val="10"/>
  </w:num>
  <w:num w:numId="12" w16cid:durableId="526413975">
    <w:abstractNumId w:val="11"/>
  </w:num>
  <w:num w:numId="13" w16cid:durableId="53825093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E8"/>
    <w:rsid w:val="00000F6F"/>
    <w:rsid w:val="0003031F"/>
    <w:rsid w:val="00051A30"/>
    <w:rsid w:val="00051AE2"/>
    <w:rsid w:val="00057DD9"/>
    <w:rsid w:val="000A063A"/>
    <w:rsid w:val="000A2288"/>
    <w:rsid w:val="000A3866"/>
    <w:rsid w:val="000A5BB6"/>
    <w:rsid w:val="000B2AD5"/>
    <w:rsid w:val="000D4EE8"/>
    <w:rsid w:val="000E1675"/>
    <w:rsid w:val="000F64F3"/>
    <w:rsid w:val="001002F0"/>
    <w:rsid w:val="00114FFD"/>
    <w:rsid w:val="001161A6"/>
    <w:rsid w:val="0012040C"/>
    <w:rsid w:val="00122916"/>
    <w:rsid w:val="0014656D"/>
    <w:rsid w:val="00147984"/>
    <w:rsid w:val="001519DB"/>
    <w:rsid w:val="001637D3"/>
    <w:rsid w:val="001722AD"/>
    <w:rsid w:val="00175D1B"/>
    <w:rsid w:val="001870D9"/>
    <w:rsid w:val="001A1230"/>
    <w:rsid w:val="001B23F7"/>
    <w:rsid w:val="001D5DD7"/>
    <w:rsid w:val="001E6B7D"/>
    <w:rsid w:val="001F25FD"/>
    <w:rsid w:val="00201A3C"/>
    <w:rsid w:val="00204167"/>
    <w:rsid w:val="002070CF"/>
    <w:rsid w:val="00224257"/>
    <w:rsid w:val="00246B72"/>
    <w:rsid w:val="00246C51"/>
    <w:rsid w:val="00250317"/>
    <w:rsid w:val="00250EFA"/>
    <w:rsid w:val="00250FCB"/>
    <w:rsid w:val="00254FE7"/>
    <w:rsid w:val="00261DCE"/>
    <w:rsid w:val="0026267A"/>
    <w:rsid w:val="002645BE"/>
    <w:rsid w:val="002649C8"/>
    <w:rsid w:val="00273DF5"/>
    <w:rsid w:val="00284ECB"/>
    <w:rsid w:val="00291E46"/>
    <w:rsid w:val="002B112B"/>
    <w:rsid w:val="002D1043"/>
    <w:rsid w:val="002E0765"/>
    <w:rsid w:val="002F4DFF"/>
    <w:rsid w:val="00317986"/>
    <w:rsid w:val="00320865"/>
    <w:rsid w:val="00331D6A"/>
    <w:rsid w:val="00372CBD"/>
    <w:rsid w:val="00387916"/>
    <w:rsid w:val="003A387D"/>
    <w:rsid w:val="003D7FC0"/>
    <w:rsid w:val="00403BAB"/>
    <w:rsid w:val="00410D7C"/>
    <w:rsid w:val="00415611"/>
    <w:rsid w:val="0042497F"/>
    <w:rsid w:val="0043497B"/>
    <w:rsid w:val="00450042"/>
    <w:rsid w:val="0046590B"/>
    <w:rsid w:val="00467150"/>
    <w:rsid w:val="00472AF4"/>
    <w:rsid w:val="004B0050"/>
    <w:rsid w:val="004B3A8F"/>
    <w:rsid w:val="004F21E7"/>
    <w:rsid w:val="00515D88"/>
    <w:rsid w:val="00517BAC"/>
    <w:rsid w:val="00522F64"/>
    <w:rsid w:val="005405EC"/>
    <w:rsid w:val="0054564A"/>
    <w:rsid w:val="00567D92"/>
    <w:rsid w:val="00576989"/>
    <w:rsid w:val="00576C79"/>
    <w:rsid w:val="00592803"/>
    <w:rsid w:val="005A1112"/>
    <w:rsid w:val="005A2901"/>
    <w:rsid w:val="005B352C"/>
    <w:rsid w:val="005C1464"/>
    <w:rsid w:val="005D448D"/>
    <w:rsid w:val="005D6698"/>
    <w:rsid w:val="00625B9E"/>
    <w:rsid w:val="00637D6A"/>
    <w:rsid w:val="0068188E"/>
    <w:rsid w:val="006A5E85"/>
    <w:rsid w:val="006B37AE"/>
    <w:rsid w:val="006C54A0"/>
    <w:rsid w:val="00701EC9"/>
    <w:rsid w:val="007130C5"/>
    <w:rsid w:val="00743153"/>
    <w:rsid w:val="0074629C"/>
    <w:rsid w:val="00750ED6"/>
    <w:rsid w:val="00755BB0"/>
    <w:rsid w:val="00765236"/>
    <w:rsid w:val="00765C0E"/>
    <w:rsid w:val="00770FC6"/>
    <w:rsid w:val="0078337A"/>
    <w:rsid w:val="00795652"/>
    <w:rsid w:val="007C5CA5"/>
    <w:rsid w:val="00816EDF"/>
    <w:rsid w:val="0082442A"/>
    <w:rsid w:val="0083766D"/>
    <w:rsid w:val="00841AC5"/>
    <w:rsid w:val="008453C5"/>
    <w:rsid w:val="00850585"/>
    <w:rsid w:val="00860CA4"/>
    <w:rsid w:val="00861C85"/>
    <w:rsid w:val="00886D59"/>
    <w:rsid w:val="0088713F"/>
    <w:rsid w:val="00895628"/>
    <w:rsid w:val="008D2337"/>
    <w:rsid w:val="008D5791"/>
    <w:rsid w:val="008D5EAF"/>
    <w:rsid w:val="008F0F52"/>
    <w:rsid w:val="008F4065"/>
    <w:rsid w:val="009011A3"/>
    <w:rsid w:val="00910179"/>
    <w:rsid w:val="00926FCE"/>
    <w:rsid w:val="0092782B"/>
    <w:rsid w:val="00932DD3"/>
    <w:rsid w:val="00940F76"/>
    <w:rsid w:val="00953EEA"/>
    <w:rsid w:val="009557A7"/>
    <w:rsid w:val="00956C92"/>
    <w:rsid w:val="009602E6"/>
    <w:rsid w:val="00976048"/>
    <w:rsid w:val="00980B6E"/>
    <w:rsid w:val="009960DD"/>
    <w:rsid w:val="00996363"/>
    <w:rsid w:val="009C67E5"/>
    <w:rsid w:val="009E6C61"/>
    <w:rsid w:val="00A97491"/>
    <w:rsid w:val="00A97DF7"/>
    <w:rsid w:val="00AC772B"/>
    <w:rsid w:val="00AE3762"/>
    <w:rsid w:val="00B02AEE"/>
    <w:rsid w:val="00B66797"/>
    <w:rsid w:val="00B86E67"/>
    <w:rsid w:val="00B9637A"/>
    <w:rsid w:val="00BB7DC1"/>
    <w:rsid w:val="00BC64F4"/>
    <w:rsid w:val="00BD27F1"/>
    <w:rsid w:val="00BF1E6C"/>
    <w:rsid w:val="00BF716C"/>
    <w:rsid w:val="00C00A43"/>
    <w:rsid w:val="00C06656"/>
    <w:rsid w:val="00C16E0B"/>
    <w:rsid w:val="00C2127A"/>
    <w:rsid w:val="00C375A2"/>
    <w:rsid w:val="00C37F2F"/>
    <w:rsid w:val="00C907BE"/>
    <w:rsid w:val="00C93A1F"/>
    <w:rsid w:val="00C96197"/>
    <w:rsid w:val="00CA25CD"/>
    <w:rsid w:val="00CC5F3F"/>
    <w:rsid w:val="00CE0014"/>
    <w:rsid w:val="00CE1FC7"/>
    <w:rsid w:val="00D04320"/>
    <w:rsid w:val="00D2056F"/>
    <w:rsid w:val="00D2386F"/>
    <w:rsid w:val="00D27900"/>
    <w:rsid w:val="00D30CD1"/>
    <w:rsid w:val="00D40D97"/>
    <w:rsid w:val="00D53801"/>
    <w:rsid w:val="00D9711F"/>
    <w:rsid w:val="00DA6CD3"/>
    <w:rsid w:val="00DC0877"/>
    <w:rsid w:val="00DE3962"/>
    <w:rsid w:val="00E11D70"/>
    <w:rsid w:val="00E20D61"/>
    <w:rsid w:val="00E36651"/>
    <w:rsid w:val="00E62122"/>
    <w:rsid w:val="00E660AC"/>
    <w:rsid w:val="00E801E4"/>
    <w:rsid w:val="00E81F00"/>
    <w:rsid w:val="00E8453A"/>
    <w:rsid w:val="00E9487D"/>
    <w:rsid w:val="00ED52EC"/>
    <w:rsid w:val="00EE1304"/>
    <w:rsid w:val="00F0159F"/>
    <w:rsid w:val="00F068AA"/>
    <w:rsid w:val="00F12BC8"/>
    <w:rsid w:val="00F15C69"/>
    <w:rsid w:val="00F17483"/>
    <w:rsid w:val="00F27AD4"/>
    <w:rsid w:val="00F77EA1"/>
    <w:rsid w:val="00F84AD1"/>
    <w:rsid w:val="00F97642"/>
    <w:rsid w:val="00FD2D71"/>
    <w:rsid w:val="00FD6694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C18B"/>
  <w15:docId w15:val="{6228A0B6-D725-43DC-ADE5-A14278CB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A3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467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B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  <w:lang w:val="en-GB"/>
    </w:rPr>
  </w:style>
  <w:style w:type="table" w:styleId="TableGrid">
    <w:name w:val="Table Grid"/>
    <w:basedOn w:val="TableNormal"/>
    <w:uiPriority w:val="59"/>
    <w:rsid w:val="00264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F6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6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52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6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3866"/>
    <w:rPr>
      <w:rFonts w:ascii="Times New Roman" w:eastAsia="Times New Roman" w:hAnsi="Times New Roman"/>
      <w:kern w:val="36"/>
      <w:sz w:val="24"/>
      <w:szCs w:val="24"/>
    </w:rPr>
  </w:style>
  <w:style w:type="character" w:styleId="Strong">
    <w:name w:val="Strong"/>
    <w:basedOn w:val="DefaultParagraphFont"/>
    <w:uiPriority w:val="22"/>
    <w:qFormat/>
    <w:rsid w:val="000A3866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A386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467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Maintext">
    <w:name w:val="Main text"/>
    <w:basedOn w:val="Normal"/>
    <w:rsid w:val="0042497F"/>
    <w:pPr>
      <w:spacing w:after="120" w:line="240" w:lineRule="auto"/>
      <w:jc w:val="both"/>
    </w:pPr>
    <w:rPr>
      <w:rFonts w:ascii="Times New Roman" w:eastAsiaTheme="minorHAnsi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57DD9"/>
    <w:rPr>
      <w:strike w:val="0"/>
      <w:dstrike w:val="0"/>
      <w:color w:val="777779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932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2DD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79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011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356">
                  <w:marLeft w:val="0"/>
                  <w:marRight w:val="0"/>
                  <w:marTop w:val="100"/>
                  <w:marBottom w:val="100"/>
                  <w:divBdr>
                    <w:top w:val="single" w:sz="18" w:space="6" w:color="888888"/>
                    <w:left w:val="single" w:sz="18" w:space="6" w:color="888888"/>
                    <w:bottom w:val="single" w:sz="18" w:space="6" w:color="888888"/>
                    <w:right w:val="single" w:sz="18" w:space="6" w:color="888888"/>
                  </w:divBdr>
                  <w:divsChild>
                    <w:div w:id="1396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7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2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9590B0384B34699E14FB78C47D9F4" ma:contentTypeVersion="1" ma:contentTypeDescription="Create a new document." ma:contentTypeScope="" ma:versionID="5ad061efc4a551e89236a124585972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c05d7c65818bfdaeed7803a1dfb3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635609937906294496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635609937906294496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635609937906294496</Data>
    <Filter/>
  </Receiver>
</spe:Receivers>
</file>

<file path=customXml/itemProps1.xml><?xml version="1.0" encoding="utf-8"?>
<ds:datastoreItem xmlns:ds="http://schemas.openxmlformats.org/officeDocument/2006/customXml" ds:itemID="{205BC396-D033-4F24-B17B-6EADF8495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CFBB4-23D4-436D-A865-278428788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AD8EC-F5E5-4C80-923A-4F74E377FD8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AAE1B0-AF1F-48F2-A863-CE18A08226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RoleProfile_v2_2017</vt:lpstr>
    </vt:vector>
  </TitlesOfParts>
  <Company>Secure Trust Bank PLC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RoleProfile_v2_2017</dc:title>
  <dc:creator>benbows</dc:creator>
  <cp:lastModifiedBy>Richard Harper</cp:lastModifiedBy>
  <cp:revision>2</cp:revision>
  <cp:lastPrinted>2014-10-22T07:41:00Z</cp:lastPrinted>
  <dcterms:created xsi:type="dcterms:W3CDTF">2024-03-18T19:55:00Z</dcterms:created>
  <dcterms:modified xsi:type="dcterms:W3CDTF">2024-03-18T19:55:00Z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0x0101002819590B0384B34699E14FB78C47D9F4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Company Confidential</vt:lpwstr>
  </property>
  <property fmtid="{D5CDD505-2E9C-101B-9397-08002B2CF9AE}" pid="6" name="MSIP_Label_ef6327e6-fc0e-4760-99e5-056f7efd02ce_Enabled">
    <vt:lpwstr>true</vt:lpwstr>
  </property>
  <property fmtid="{D5CDD505-2E9C-101B-9397-08002B2CF9AE}" pid="7" name="MSIP_Label_ef6327e6-fc0e-4760-99e5-056f7efd02ce_SetDate">
    <vt:lpwstr>2022-10-24T14:24:10Z</vt:lpwstr>
  </property>
  <property fmtid="{D5CDD505-2E9C-101B-9397-08002B2CF9AE}" pid="8" name="MSIP_Label_ef6327e6-fc0e-4760-99e5-056f7efd02ce_Method">
    <vt:lpwstr>Standard</vt:lpwstr>
  </property>
  <property fmtid="{D5CDD505-2E9C-101B-9397-08002B2CF9AE}" pid="9" name="MSIP_Label_ef6327e6-fc0e-4760-99e5-056f7efd02ce_Name">
    <vt:lpwstr>Company Confidential</vt:lpwstr>
  </property>
  <property fmtid="{D5CDD505-2E9C-101B-9397-08002B2CF9AE}" pid="10" name="MSIP_Label_ef6327e6-fc0e-4760-99e5-056f7efd02ce_SiteId">
    <vt:lpwstr>f22a49a4-3b88-46d2-951c-591470e3149b</vt:lpwstr>
  </property>
  <property fmtid="{D5CDD505-2E9C-101B-9397-08002B2CF9AE}" pid="11" name="MSIP_Label_ef6327e6-fc0e-4760-99e5-056f7efd02ce_ActionId">
    <vt:lpwstr>99ccba38-43a2-4c7a-8c59-d56953c4d7f4</vt:lpwstr>
  </property>
  <property fmtid="{D5CDD505-2E9C-101B-9397-08002B2CF9AE}" pid="12" name="MSIP_Label_ef6327e6-fc0e-4760-99e5-056f7efd02ce_ContentBits">
    <vt:lpwstr>2</vt:lpwstr>
  </property>
</Properties>
</file>