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9" w:type="dxa"/>
        <w:tblInd w:w="-11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6"/>
        <w:gridCol w:w="9643"/>
      </w:tblGrid>
      <w:tr w:rsidR="002645BE" w:rsidRPr="00D2056F" w14:paraId="528C8251" w14:textId="77777777" w:rsidTr="009805FD">
        <w:trPr>
          <w:trHeight w:val="1205"/>
        </w:trPr>
        <w:tc>
          <w:tcPr>
            <w:tcW w:w="11029" w:type="dxa"/>
            <w:gridSpan w:val="2"/>
            <w:shd w:val="clear" w:color="auto" w:fill="001E5A"/>
          </w:tcPr>
          <w:p w14:paraId="02DC7B09" w14:textId="7DE43FE4" w:rsidR="002645BE" w:rsidRPr="00D2056F" w:rsidRDefault="004635A5" w:rsidP="004635A5">
            <w:pPr>
              <w:spacing w:after="0" w:line="240" w:lineRule="auto"/>
              <w:jc w:val="right"/>
              <w:rPr>
                <w:rFonts w:asciiTheme="minorHAnsi" w:eastAsiaTheme="minorHAnsi" w:hAnsiTheme="minorHAnsi" w:cs="Shruti"/>
                <w:b/>
                <w:sz w:val="20"/>
                <w:szCs w:val="22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B74991" wp14:editId="58EEC7C5">
                  <wp:simplePos x="0" y="0"/>
                  <wp:positionH relativeFrom="column">
                    <wp:posOffset>4530725</wp:posOffset>
                  </wp:positionH>
                  <wp:positionV relativeFrom="paragraph">
                    <wp:posOffset>123190</wp:posOffset>
                  </wp:positionV>
                  <wp:extent cx="2286000" cy="50419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68CCFA" w14:textId="6F2A35F5" w:rsidR="002645BE" w:rsidRPr="003815D2" w:rsidRDefault="00841AC5" w:rsidP="004635A5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  <w:r w:rsidRPr="00D2056F">
              <w:rPr>
                <w:rFonts w:asciiTheme="minorHAnsi" w:eastAsiaTheme="minorHAnsi" w:hAnsiTheme="minorHAnsi" w:cs="Shruti"/>
                <w:b/>
                <w:sz w:val="32"/>
                <w:szCs w:val="22"/>
                <w:lang w:val="en-GB"/>
              </w:rPr>
              <w:t>Secure Trust Bank</w:t>
            </w:r>
            <w:r w:rsidR="00D30CD1">
              <w:rPr>
                <w:rFonts w:asciiTheme="minorHAnsi" w:eastAsiaTheme="minorHAnsi" w:hAnsiTheme="minorHAnsi" w:cs="Shruti"/>
                <w:b/>
                <w:sz w:val="32"/>
                <w:szCs w:val="22"/>
                <w:lang w:val="en-GB"/>
              </w:rPr>
              <w:t xml:space="preserve">                                                                             </w:t>
            </w:r>
            <w:r w:rsidRPr="00D2056F">
              <w:rPr>
                <w:rFonts w:asciiTheme="minorHAnsi" w:eastAsiaTheme="minorHAnsi" w:hAnsiTheme="minorHAnsi" w:cs="Shruti"/>
                <w:b/>
                <w:sz w:val="32"/>
                <w:szCs w:val="22"/>
                <w:lang w:val="en-GB"/>
              </w:rPr>
              <w:br/>
            </w:r>
            <w:r w:rsidR="00FF444C">
              <w:rPr>
                <w:rFonts w:asciiTheme="minorHAnsi" w:eastAsiaTheme="minorHAnsi" w:hAnsiTheme="minorHAnsi" w:cs="Shruti"/>
                <w:b/>
                <w:sz w:val="32"/>
                <w:szCs w:val="32"/>
                <w:lang w:val="en-GB"/>
              </w:rPr>
              <w:t xml:space="preserve">Head of Credit, </w:t>
            </w:r>
            <w:r w:rsidR="007A128E">
              <w:rPr>
                <w:rFonts w:asciiTheme="minorHAnsi" w:eastAsiaTheme="minorHAnsi" w:hAnsiTheme="minorHAnsi" w:cs="Shruti"/>
                <w:b/>
                <w:sz w:val="32"/>
                <w:szCs w:val="32"/>
                <w:lang w:val="en-GB"/>
              </w:rPr>
              <w:t xml:space="preserve">Speciality </w:t>
            </w:r>
            <w:r w:rsidR="00FF444C">
              <w:rPr>
                <w:rFonts w:asciiTheme="minorHAnsi" w:eastAsiaTheme="minorHAnsi" w:hAnsiTheme="minorHAnsi" w:cs="Shruti"/>
                <w:b/>
                <w:sz w:val="32"/>
                <w:szCs w:val="32"/>
                <w:lang w:val="en-GB"/>
              </w:rPr>
              <w:t xml:space="preserve">Finance </w:t>
            </w:r>
            <w:r w:rsidR="00F33904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 </w:t>
            </w:r>
          </w:p>
        </w:tc>
      </w:tr>
      <w:tr w:rsidR="002645BE" w:rsidRPr="00D2056F" w14:paraId="3BFB6DDE" w14:textId="77777777" w:rsidTr="009805FD">
        <w:trPr>
          <w:trHeight w:val="1431"/>
        </w:trPr>
        <w:tc>
          <w:tcPr>
            <w:tcW w:w="11029" w:type="dxa"/>
            <w:gridSpan w:val="2"/>
          </w:tcPr>
          <w:p w14:paraId="737032B1" w14:textId="3D8FECD8" w:rsidR="003815D2" w:rsidRDefault="003815D2" w:rsidP="004727F8">
            <w:pPr>
              <w:spacing w:before="60" w:after="60" w:line="240" w:lineRule="auto"/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Job</w:t>
            </w:r>
            <w:r w:rsidRPr="00C93A1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 xml:space="preserve"> Level</w:t>
            </w:r>
            <w:r w:rsidRPr="00C93A1F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: </w:t>
            </w:r>
            <w:r w:rsidR="00DF73D8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Level 7 </w:t>
            </w:r>
            <w:r w:rsidR="00FF444C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 </w:t>
            </w:r>
          </w:p>
          <w:p w14:paraId="3255A544" w14:textId="577061BD" w:rsidR="003815D2" w:rsidRDefault="003815D2" w:rsidP="004727F8">
            <w:pPr>
              <w:spacing w:before="60" w:after="6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  <w:r w:rsidRPr="004B3A8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Career Path</w:t>
            </w:r>
            <w:r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 xml:space="preserve">: </w:t>
            </w:r>
            <w:r w:rsidR="00FF444C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 xml:space="preserve">TBC </w:t>
            </w:r>
          </w:p>
          <w:p w14:paraId="366B336E" w14:textId="5556F9C9" w:rsidR="003815D2" w:rsidRPr="00C93A1F" w:rsidRDefault="003815D2" w:rsidP="004635A5">
            <w:pPr>
              <w:tabs>
                <w:tab w:val="left" w:pos="9320"/>
              </w:tabs>
              <w:spacing w:before="60" w:after="60" w:line="240" w:lineRule="auto"/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</w:pPr>
            <w:r w:rsidRPr="00C93A1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Reporting</w:t>
            </w:r>
            <w:r w:rsidRPr="00C93A1F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 </w:t>
            </w:r>
            <w:r w:rsidRPr="00C93A1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To</w:t>
            </w:r>
            <w:r w:rsidRPr="00C93A1F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: </w:t>
            </w:r>
            <w:r w:rsidR="00FF444C" w:rsidRPr="00FF444C">
              <w:rPr>
                <w:rFonts w:asciiTheme="minorHAnsi" w:hAnsiTheme="minorHAnsi" w:cstheme="minorHAnsi"/>
                <w:bCs/>
              </w:rPr>
              <w:t>Head of Business Finance Credit</w:t>
            </w:r>
            <w:r w:rsidR="004635A5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ab/>
            </w:r>
          </w:p>
          <w:p w14:paraId="49A0E198" w14:textId="49BA8B1D" w:rsidR="002645BE" w:rsidRPr="004727F8" w:rsidRDefault="003815D2" w:rsidP="00607FF6">
            <w:pPr>
              <w:spacing w:before="60" w:after="60" w:line="240" w:lineRule="auto"/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</w:pPr>
            <w:r w:rsidRPr="00C93A1F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Location</w:t>
            </w:r>
            <w:r w:rsidRPr="00C93A1F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: </w:t>
            </w:r>
            <w:r w:rsidR="001348F6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London </w:t>
            </w:r>
            <w:r w:rsidR="00DF73D8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or Manchester </w:t>
            </w:r>
          </w:p>
        </w:tc>
      </w:tr>
      <w:tr w:rsidR="002645BE" w:rsidRPr="00BB00E5" w14:paraId="6355A4CD" w14:textId="77777777" w:rsidTr="009805FD">
        <w:trPr>
          <w:trHeight w:val="1431"/>
        </w:trPr>
        <w:tc>
          <w:tcPr>
            <w:tcW w:w="11029" w:type="dxa"/>
            <w:gridSpan w:val="2"/>
          </w:tcPr>
          <w:p w14:paraId="37B2BBD6" w14:textId="1E0C94E3" w:rsidR="003815D2" w:rsidRPr="003815D2" w:rsidRDefault="003815D2" w:rsidP="004727F8">
            <w:pPr>
              <w:spacing w:before="120" w:after="6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2A091C">
              <w:rPr>
                <w:sz w:val="22"/>
                <w:szCs w:val="22"/>
                <w:lang w:eastAsia="en-GB"/>
              </w:rPr>
              <w:t xml:space="preserve">Secure Trust Bank is an established, well-funded and </w:t>
            </w:r>
            <w:proofErr w:type="spellStart"/>
            <w:r w:rsidRPr="002A091C">
              <w:rPr>
                <w:sz w:val="22"/>
                <w:szCs w:val="22"/>
                <w:lang w:eastAsia="en-GB"/>
              </w:rPr>
              <w:t>capitalised</w:t>
            </w:r>
            <w:proofErr w:type="spellEnd"/>
            <w:r w:rsidRPr="002A091C">
              <w:rPr>
                <w:sz w:val="22"/>
                <w:szCs w:val="22"/>
                <w:lang w:eastAsia="en-GB"/>
              </w:rPr>
              <w:t xml:space="preserve"> UK retail bank </w:t>
            </w:r>
            <w:r w:rsidR="00D9692A">
              <w:rPr>
                <w:sz w:val="22"/>
                <w:szCs w:val="22"/>
                <w:lang w:eastAsia="en-GB"/>
              </w:rPr>
              <w:t>providing savings accounts and lending services to over a million customers. In 2022 the Group celebrated 70 years of helping consumers and businesses fulfil their ambitions.</w:t>
            </w:r>
          </w:p>
          <w:p w14:paraId="55D4E4AD" w14:textId="0877E390" w:rsidR="00051AE2" w:rsidRPr="00B226A7" w:rsidRDefault="003815D2" w:rsidP="00B226A7">
            <w:pPr>
              <w:spacing w:before="60" w:after="60" w:line="240" w:lineRule="auto"/>
              <w:rPr>
                <w:iCs/>
                <w:sz w:val="22"/>
                <w:szCs w:val="22"/>
              </w:rPr>
            </w:pPr>
            <w:r w:rsidRPr="007C5CA5">
              <w:rPr>
                <w:iCs/>
                <w:sz w:val="22"/>
                <w:szCs w:val="22"/>
              </w:rPr>
              <w:t xml:space="preserve">Our customers are at the heart of everything we do, but we can’t achieve our </w:t>
            </w:r>
            <w:proofErr w:type="gramStart"/>
            <w:r w:rsidRPr="007C5CA5">
              <w:rPr>
                <w:iCs/>
                <w:sz w:val="22"/>
                <w:szCs w:val="22"/>
              </w:rPr>
              <w:t>customer focused</w:t>
            </w:r>
            <w:proofErr w:type="gramEnd"/>
            <w:r w:rsidRPr="007C5CA5">
              <w:rPr>
                <w:iCs/>
                <w:sz w:val="22"/>
                <w:szCs w:val="22"/>
              </w:rPr>
              <w:t xml:space="preserve"> strategy without the right people in our team. At Secure Trust Bank, we know that people are our biggest investment, which is why a career with us is not just a job. It’s the chance to be part of something bigger, to add real value to the Bank and help us constantly improve, </w:t>
            </w:r>
            <w:proofErr w:type="gramStart"/>
            <w:r w:rsidRPr="007C5CA5">
              <w:rPr>
                <w:iCs/>
                <w:sz w:val="22"/>
                <w:szCs w:val="22"/>
              </w:rPr>
              <w:t>in order to</w:t>
            </w:r>
            <w:proofErr w:type="gramEnd"/>
            <w:r w:rsidRPr="007C5CA5">
              <w:rPr>
                <w:iCs/>
                <w:sz w:val="22"/>
                <w:szCs w:val="22"/>
              </w:rPr>
              <w:t xml:space="preserve"> achieve our ambition of becoming the </w:t>
            </w:r>
            <w:proofErr w:type="gramStart"/>
            <w:r w:rsidR="00D9692A">
              <w:rPr>
                <w:iCs/>
                <w:sz w:val="22"/>
                <w:szCs w:val="22"/>
              </w:rPr>
              <w:t xml:space="preserve">most </w:t>
            </w:r>
            <w:proofErr w:type="spellStart"/>
            <w:r w:rsidR="00D9692A">
              <w:rPr>
                <w:iCs/>
                <w:sz w:val="22"/>
                <w:szCs w:val="22"/>
              </w:rPr>
              <w:t>most</w:t>
            </w:r>
            <w:proofErr w:type="spellEnd"/>
            <w:proofErr w:type="gramEnd"/>
            <w:r w:rsidR="00D9692A">
              <w:rPr>
                <w:iCs/>
                <w:sz w:val="22"/>
                <w:szCs w:val="22"/>
              </w:rPr>
              <w:t xml:space="preserve"> trusted</w:t>
            </w:r>
            <w:r w:rsidR="00B226A7">
              <w:rPr>
                <w:iCs/>
                <w:sz w:val="22"/>
                <w:szCs w:val="22"/>
              </w:rPr>
              <w:t xml:space="preserve"> specialist lender in the </w:t>
            </w:r>
            <w:proofErr w:type="gramStart"/>
            <w:r w:rsidR="00B226A7">
              <w:rPr>
                <w:iCs/>
                <w:sz w:val="22"/>
                <w:szCs w:val="22"/>
              </w:rPr>
              <w:t>UK</w:t>
            </w:r>
            <w:r w:rsidR="00D9692A">
              <w:rPr>
                <w:iCs/>
                <w:sz w:val="22"/>
                <w:szCs w:val="22"/>
              </w:rPr>
              <w:t xml:space="preserve"> </w:t>
            </w:r>
            <w:r w:rsidRPr="007C5CA5">
              <w:rPr>
                <w:iCs/>
                <w:sz w:val="22"/>
                <w:szCs w:val="22"/>
              </w:rPr>
              <w:t>.</w:t>
            </w:r>
            <w:proofErr w:type="gramEnd"/>
            <w:r w:rsidRPr="007C5CA5">
              <w:rPr>
                <w:iCs/>
                <w:sz w:val="22"/>
                <w:szCs w:val="22"/>
              </w:rPr>
              <w:t xml:space="preserve"> We believe in giving our staff autonomy, with initiative and exceptional performance </w:t>
            </w:r>
            <w:proofErr w:type="spellStart"/>
            <w:r w:rsidRPr="007C5CA5">
              <w:rPr>
                <w:iCs/>
                <w:sz w:val="22"/>
                <w:szCs w:val="22"/>
              </w:rPr>
              <w:t>recognised</w:t>
            </w:r>
            <w:proofErr w:type="spellEnd"/>
            <w:r w:rsidRPr="007C5CA5">
              <w:rPr>
                <w:iCs/>
                <w:sz w:val="22"/>
                <w:szCs w:val="22"/>
              </w:rPr>
              <w:t xml:space="preserve"> through a variety of individual and team awards and incentives. All our employees have a tangible impact on the Group’s core values, and we are looking for candidates who are enthusiastic, proactive and enjoy working in a </w:t>
            </w:r>
            <w:proofErr w:type="gramStart"/>
            <w:r w:rsidRPr="007C5CA5">
              <w:rPr>
                <w:iCs/>
                <w:sz w:val="22"/>
                <w:szCs w:val="22"/>
              </w:rPr>
              <w:t>fast paced</w:t>
            </w:r>
            <w:proofErr w:type="gramEnd"/>
            <w:r w:rsidRPr="007C5CA5">
              <w:rPr>
                <w:iCs/>
                <w:sz w:val="22"/>
                <w:szCs w:val="22"/>
              </w:rPr>
              <w:t xml:space="preserve"> environment. </w:t>
            </w:r>
          </w:p>
        </w:tc>
      </w:tr>
      <w:tr w:rsidR="002645BE" w:rsidRPr="00BB00E5" w14:paraId="6EF85A6D" w14:textId="77777777" w:rsidTr="009805FD">
        <w:trPr>
          <w:trHeight w:val="443"/>
        </w:trPr>
        <w:tc>
          <w:tcPr>
            <w:tcW w:w="1364" w:type="dxa"/>
          </w:tcPr>
          <w:p w14:paraId="67A03226" w14:textId="77777777" w:rsidR="002645BE" w:rsidRPr="00BB00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  <w:p w14:paraId="07B0C84E" w14:textId="77777777" w:rsidR="002645BE" w:rsidRPr="00BB00E5" w:rsidRDefault="000A063A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  <w:r w:rsidRPr="00BB00E5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 xml:space="preserve">Job </w:t>
            </w:r>
            <w:r w:rsidR="002645BE" w:rsidRPr="00BB00E5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Description</w:t>
            </w:r>
          </w:p>
          <w:p w14:paraId="24010C6A" w14:textId="77777777" w:rsidR="002645BE" w:rsidRPr="00BB00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</w:tc>
        <w:tc>
          <w:tcPr>
            <w:tcW w:w="9664" w:type="dxa"/>
          </w:tcPr>
          <w:p w14:paraId="5745FB33" w14:textId="77777777" w:rsidR="002645BE" w:rsidRDefault="00057DD9" w:rsidP="002645BE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Job Purpose</w:t>
            </w:r>
          </w:p>
          <w:p w14:paraId="3EA00AC9" w14:textId="40322C1E" w:rsidR="001348F6" w:rsidRDefault="0097053F" w:rsidP="002645BE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</w:pPr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  <w:t xml:space="preserve">The Head of Credit Risk for </w:t>
            </w:r>
            <w:proofErr w:type="spellStart"/>
            <w:r w:rsidR="00D91EC3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  <w:t>Speciality</w:t>
            </w:r>
            <w:proofErr w:type="spellEnd"/>
            <w:r w:rsidR="00D91EC3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  <w:t xml:space="preserve"> Finance</w:t>
            </w:r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  <w:t xml:space="preserve"> </w:t>
            </w:r>
            <w:r w:rsidR="00D91EC3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  <w:t xml:space="preserve">(SF) </w:t>
            </w:r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  <w:t xml:space="preserve">is responsible for overseeing the credit risk profile of the </w:t>
            </w:r>
            <w:r w:rsidR="00D91EC3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  <w:t>SF</w:t>
            </w:r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  <w:t xml:space="preserve"> business within Secure Trust Bank Group. </w:t>
            </w:r>
          </w:p>
          <w:p w14:paraId="251F2A86" w14:textId="77777777" w:rsidR="001348F6" w:rsidRDefault="001348F6" w:rsidP="002645BE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</w:pPr>
          </w:p>
          <w:p w14:paraId="55CB7CA9" w14:textId="5F42B78C" w:rsidR="001348F6" w:rsidRDefault="0097053F" w:rsidP="00E439D7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</w:pPr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  <w:t xml:space="preserve">This strategic role supports the development and sustainability of the </w:t>
            </w:r>
            <w:r w:rsidR="00D91EC3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  <w:t xml:space="preserve">SF </w:t>
            </w:r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  <w:t xml:space="preserve">product offering, ensuring alignment with the Group’s risk appetite and capital parameters. </w:t>
            </w:r>
          </w:p>
          <w:p w14:paraId="40E96254" w14:textId="77777777" w:rsidR="001348F6" w:rsidRDefault="001348F6" w:rsidP="002645BE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</w:pPr>
          </w:p>
          <w:p w14:paraId="1A73AF0C" w14:textId="349FF94D" w:rsidR="001348F6" w:rsidRDefault="0097053F" w:rsidP="002645BE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</w:pPr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  <w:t xml:space="preserve">As a key second-line credit function, the role ensures high-quality lending decisions, shapes credit policy, and contributes to the successful market establishment of the </w:t>
            </w:r>
            <w:r w:rsidR="00D91EC3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  <w:t>SF</w:t>
            </w:r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  <w:t xml:space="preserve"> product. </w:t>
            </w:r>
          </w:p>
          <w:p w14:paraId="5560A142" w14:textId="77777777" w:rsidR="001348F6" w:rsidRDefault="001348F6" w:rsidP="002645BE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</w:pPr>
          </w:p>
          <w:p w14:paraId="723F7848" w14:textId="5248793D" w:rsidR="00607FF6" w:rsidRPr="0097053F" w:rsidRDefault="001348F6" w:rsidP="002645BE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  <w:t>The intention is that t</w:t>
            </w:r>
            <w:r w:rsidR="0097053F"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</w:rPr>
              <w:t>he post holder is a Credit Committee member and designated Material Risk Taker (MRT), adhering to FCA and PRA regulatory standards.</w:t>
            </w:r>
          </w:p>
          <w:p w14:paraId="2F66431B" w14:textId="77777777" w:rsidR="000C1CA2" w:rsidRPr="00BB00E5" w:rsidRDefault="000C1CA2" w:rsidP="00204167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i/>
                <w:sz w:val="22"/>
                <w:szCs w:val="22"/>
                <w:lang w:val="en-GB"/>
              </w:rPr>
            </w:pPr>
          </w:p>
          <w:p w14:paraId="01293FB9" w14:textId="0C30F00F" w:rsidR="00765C0E" w:rsidRDefault="00895628" w:rsidP="00204167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Key Responsibilit</w:t>
            </w:r>
            <w:r w:rsidR="00D2056F"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i</w:t>
            </w:r>
            <w:r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es</w:t>
            </w:r>
            <w:r w:rsidR="00472C37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 xml:space="preserve"> </w:t>
            </w:r>
          </w:p>
          <w:p w14:paraId="65C4954B" w14:textId="55063F67" w:rsidR="0097053F" w:rsidRPr="0097053F" w:rsidRDefault="0097053F" w:rsidP="0097053F">
            <w:pPr>
              <w:pStyle w:val="ListParagraph"/>
              <w:numPr>
                <w:ilvl w:val="0"/>
                <w:numId w:val="17"/>
              </w:numPr>
              <w:rPr>
                <w:rFonts w:cs="Shruti"/>
                <w:bCs/>
                <w:iCs/>
                <w:sz w:val="22"/>
              </w:rPr>
            </w:pPr>
            <w:r w:rsidRPr="0097053F">
              <w:rPr>
                <w:rFonts w:cs="Shruti"/>
                <w:bCs/>
                <w:iCs/>
                <w:sz w:val="22"/>
              </w:rPr>
              <w:t>Develop, maintain, and evolve the Business Finance</w:t>
            </w:r>
            <w:r w:rsidR="00D03D87">
              <w:rPr>
                <w:rFonts w:cs="Shruti"/>
                <w:bCs/>
                <w:iCs/>
                <w:sz w:val="22"/>
              </w:rPr>
              <w:t xml:space="preserve"> SF</w:t>
            </w:r>
            <w:r w:rsidRPr="0097053F">
              <w:rPr>
                <w:rFonts w:cs="Shruti"/>
                <w:bCs/>
                <w:iCs/>
                <w:sz w:val="22"/>
              </w:rPr>
              <w:t xml:space="preserve"> credit policy and risk appetite. </w:t>
            </w:r>
          </w:p>
          <w:p w14:paraId="41A04845" w14:textId="29251CF3" w:rsidR="0097053F" w:rsidRPr="0097053F" w:rsidRDefault="0097053F" w:rsidP="0097053F">
            <w:pPr>
              <w:pStyle w:val="ListParagraph"/>
              <w:numPr>
                <w:ilvl w:val="0"/>
                <w:numId w:val="17"/>
              </w:numPr>
              <w:rPr>
                <w:rFonts w:cs="Shruti"/>
                <w:bCs/>
                <w:iCs/>
                <w:sz w:val="22"/>
              </w:rPr>
            </w:pPr>
            <w:r w:rsidRPr="0097053F">
              <w:rPr>
                <w:rFonts w:cs="Shruti"/>
                <w:bCs/>
                <w:iCs/>
                <w:sz w:val="22"/>
              </w:rPr>
              <w:t>Minimise provisions and write-offs while maximising Return on Equity (</w:t>
            </w:r>
            <w:proofErr w:type="spellStart"/>
            <w:r w:rsidRPr="0097053F">
              <w:rPr>
                <w:rFonts w:cs="Shruti"/>
                <w:bCs/>
                <w:iCs/>
                <w:sz w:val="22"/>
              </w:rPr>
              <w:t>RoE</w:t>
            </w:r>
            <w:proofErr w:type="spellEnd"/>
            <w:r w:rsidRPr="0097053F">
              <w:rPr>
                <w:rFonts w:cs="Shruti"/>
                <w:bCs/>
                <w:iCs/>
                <w:sz w:val="22"/>
              </w:rPr>
              <w:t xml:space="preserve">) within agreed risk parameters. </w:t>
            </w:r>
          </w:p>
          <w:p w14:paraId="3D0159BB" w14:textId="52FBBBFB" w:rsidR="0097053F" w:rsidRPr="0097053F" w:rsidRDefault="0097053F" w:rsidP="0097053F">
            <w:pPr>
              <w:pStyle w:val="ListParagraph"/>
              <w:numPr>
                <w:ilvl w:val="0"/>
                <w:numId w:val="17"/>
              </w:numPr>
              <w:rPr>
                <w:rFonts w:cs="Shruti"/>
                <w:bCs/>
                <w:iCs/>
                <w:sz w:val="22"/>
              </w:rPr>
            </w:pPr>
            <w:r w:rsidRPr="0097053F">
              <w:rPr>
                <w:rFonts w:cs="Shruti"/>
                <w:bCs/>
                <w:iCs/>
                <w:sz w:val="22"/>
              </w:rPr>
              <w:t xml:space="preserve">Ensure lending decisions comply with credit policy, legal documentation standards, and regulatory requirements (e.g. CDD). </w:t>
            </w:r>
          </w:p>
          <w:p w14:paraId="77DC2C87" w14:textId="7B9CB145" w:rsidR="0097053F" w:rsidRPr="0097053F" w:rsidRDefault="0097053F" w:rsidP="0097053F">
            <w:pPr>
              <w:pStyle w:val="ListParagraph"/>
              <w:numPr>
                <w:ilvl w:val="0"/>
                <w:numId w:val="17"/>
              </w:numPr>
              <w:rPr>
                <w:rFonts w:cs="Shruti"/>
                <w:bCs/>
                <w:iCs/>
                <w:sz w:val="22"/>
              </w:rPr>
            </w:pPr>
            <w:r w:rsidRPr="0097053F">
              <w:rPr>
                <w:rFonts w:cs="Shruti"/>
                <w:bCs/>
                <w:iCs/>
                <w:sz w:val="22"/>
              </w:rPr>
              <w:t xml:space="preserve">Act as a Credit Committee member and exercise delegated authority in line with mandates. </w:t>
            </w:r>
          </w:p>
          <w:p w14:paraId="54A52FD4" w14:textId="1D37F9B1" w:rsidR="0097053F" w:rsidRPr="0097053F" w:rsidRDefault="0097053F" w:rsidP="0097053F">
            <w:pPr>
              <w:pStyle w:val="ListParagraph"/>
              <w:numPr>
                <w:ilvl w:val="0"/>
                <w:numId w:val="17"/>
              </w:numPr>
              <w:rPr>
                <w:rFonts w:cs="Shruti"/>
                <w:bCs/>
                <w:iCs/>
                <w:sz w:val="22"/>
              </w:rPr>
            </w:pPr>
            <w:r w:rsidRPr="0097053F">
              <w:rPr>
                <w:rFonts w:cs="Shruti"/>
                <w:bCs/>
                <w:iCs/>
                <w:sz w:val="22"/>
              </w:rPr>
              <w:t xml:space="preserve">Support the Head of Business Finance Credit with strategic projects and initiatives. </w:t>
            </w:r>
          </w:p>
          <w:p w14:paraId="6028AA5C" w14:textId="22F5FA4D" w:rsidR="0097053F" w:rsidRPr="0097053F" w:rsidRDefault="0097053F" w:rsidP="0097053F">
            <w:pPr>
              <w:pStyle w:val="ListParagraph"/>
              <w:numPr>
                <w:ilvl w:val="0"/>
                <w:numId w:val="17"/>
              </w:numPr>
              <w:rPr>
                <w:rFonts w:cs="Shruti"/>
                <w:bCs/>
                <w:iCs/>
                <w:sz w:val="22"/>
              </w:rPr>
            </w:pPr>
            <w:r w:rsidRPr="0097053F">
              <w:rPr>
                <w:rFonts w:cs="Shruti"/>
                <w:bCs/>
                <w:iCs/>
                <w:sz w:val="22"/>
              </w:rPr>
              <w:t xml:space="preserve">Collaborate with the </w:t>
            </w:r>
            <w:r w:rsidR="00D03D87">
              <w:rPr>
                <w:rFonts w:cs="Shruti"/>
                <w:bCs/>
                <w:iCs/>
                <w:sz w:val="22"/>
              </w:rPr>
              <w:t>CF</w:t>
            </w:r>
            <w:r w:rsidRPr="0097053F">
              <w:rPr>
                <w:rFonts w:cs="Shruti"/>
                <w:bCs/>
                <w:iCs/>
                <w:sz w:val="22"/>
              </w:rPr>
              <w:t xml:space="preserve"> Restructuring Director to manage distressed assets effectively. </w:t>
            </w:r>
          </w:p>
          <w:p w14:paraId="131C7D2B" w14:textId="202F67BA" w:rsidR="0097053F" w:rsidRPr="0097053F" w:rsidRDefault="0097053F" w:rsidP="0097053F">
            <w:pPr>
              <w:pStyle w:val="ListParagraph"/>
              <w:numPr>
                <w:ilvl w:val="0"/>
                <w:numId w:val="17"/>
              </w:numPr>
              <w:rPr>
                <w:rFonts w:cs="Shruti"/>
                <w:bCs/>
                <w:iCs/>
                <w:sz w:val="22"/>
              </w:rPr>
            </w:pPr>
            <w:r w:rsidRPr="0097053F">
              <w:rPr>
                <w:rFonts w:cs="Shruti"/>
                <w:bCs/>
                <w:iCs/>
                <w:sz w:val="22"/>
              </w:rPr>
              <w:t xml:space="preserve">Produce and present </w:t>
            </w:r>
            <w:r w:rsidR="00D03D87">
              <w:rPr>
                <w:rFonts w:cs="Shruti"/>
                <w:bCs/>
                <w:iCs/>
                <w:sz w:val="22"/>
              </w:rPr>
              <w:t>SF</w:t>
            </w:r>
            <w:r w:rsidRPr="0097053F">
              <w:rPr>
                <w:rFonts w:cs="Shruti"/>
                <w:bCs/>
                <w:iCs/>
                <w:sz w:val="22"/>
              </w:rPr>
              <w:t xml:space="preserve"> MI at monthly Executive Risk Committees. </w:t>
            </w:r>
          </w:p>
          <w:p w14:paraId="5296FBE0" w14:textId="5A804FFC" w:rsidR="001348F6" w:rsidRDefault="0097053F" w:rsidP="001348F6">
            <w:pPr>
              <w:pStyle w:val="ListParagraph"/>
              <w:numPr>
                <w:ilvl w:val="0"/>
                <w:numId w:val="17"/>
              </w:numPr>
              <w:rPr>
                <w:rFonts w:cs="Shruti"/>
                <w:bCs/>
                <w:iCs/>
                <w:sz w:val="22"/>
              </w:rPr>
            </w:pPr>
            <w:r w:rsidRPr="0097053F">
              <w:rPr>
                <w:rFonts w:cs="Shruti"/>
                <w:bCs/>
                <w:iCs/>
                <w:sz w:val="22"/>
              </w:rPr>
              <w:t xml:space="preserve">Build and lead a high-performing </w:t>
            </w:r>
            <w:r w:rsidR="00D03D87">
              <w:rPr>
                <w:rFonts w:cs="Shruti"/>
                <w:bCs/>
                <w:iCs/>
                <w:sz w:val="22"/>
              </w:rPr>
              <w:t>SF</w:t>
            </w:r>
            <w:r w:rsidRPr="0097053F">
              <w:rPr>
                <w:rFonts w:cs="Shruti"/>
                <w:bCs/>
                <w:iCs/>
                <w:sz w:val="22"/>
              </w:rPr>
              <w:t xml:space="preserve"> Credit team, fostering a</w:t>
            </w:r>
            <w:r w:rsidR="001348F6">
              <w:rPr>
                <w:rFonts w:cs="Shruti"/>
                <w:bCs/>
                <w:iCs/>
                <w:sz w:val="22"/>
              </w:rPr>
              <w:t>n</w:t>
            </w:r>
            <w:r w:rsidRPr="0097053F">
              <w:rPr>
                <w:rFonts w:cs="Shruti"/>
                <w:bCs/>
                <w:iCs/>
                <w:sz w:val="22"/>
              </w:rPr>
              <w:t xml:space="preserve"> </w:t>
            </w:r>
            <w:r w:rsidR="001348F6">
              <w:rPr>
                <w:rFonts w:cs="Shruti"/>
                <w:bCs/>
                <w:iCs/>
                <w:sz w:val="22"/>
              </w:rPr>
              <w:t>approachable, challenging</w:t>
            </w:r>
            <w:r w:rsidRPr="0097053F">
              <w:rPr>
                <w:rFonts w:cs="Shruti"/>
                <w:bCs/>
                <w:iCs/>
                <w:sz w:val="22"/>
              </w:rPr>
              <w:t xml:space="preserve"> and compliant culture.</w:t>
            </w:r>
          </w:p>
          <w:p w14:paraId="6AF2F218" w14:textId="75BDD300" w:rsidR="0097053F" w:rsidRPr="001348F6" w:rsidRDefault="001348F6" w:rsidP="001348F6">
            <w:pPr>
              <w:pStyle w:val="ListParagraph"/>
              <w:numPr>
                <w:ilvl w:val="0"/>
                <w:numId w:val="17"/>
              </w:numPr>
              <w:rPr>
                <w:rFonts w:cs="Shruti"/>
                <w:bCs/>
                <w:iCs/>
                <w:sz w:val="22"/>
              </w:rPr>
            </w:pPr>
            <w:r>
              <w:rPr>
                <w:rFonts w:cs="Shruti"/>
                <w:bCs/>
                <w:iCs/>
                <w:sz w:val="22"/>
              </w:rPr>
              <w:t>Pr</w:t>
            </w:r>
            <w:r w:rsidR="0097053F" w:rsidRPr="001348F6">
              <w:rPr>
                <w:rFonts w:cs="Shruti"/>
                <w:bCs/>
                <w:iCs/>
                <w:sz w:val="22"/>
              </w:rPr>
              <w:t xml:space="preserve">ovide support to the wider </w:t>
            </w:r>
            <w:r w:rsidR="00D03D87">
              <w:rPr>
                <w:rFonts w:cs="Shruti"/>
                <w:bCs/>
                <w:iCs/>
                <w:sz w:val="22"/>
              </w:rPr>
              <w:t>CF</w:t>
            </w:r>
            <w:r w:rsidR="0097053F" w:rsidRPr="001348F6">
              <w:rPr>
                <w:rFonts w:cs="Shruti"/>
                <w:bCs/>
                <w:iCs/>
                <w:sz w:val="22"/>
              </w:rPr>
              <w:t xml:space="preserve"> Credit team on deal flow and sanctioning as capacity allows</w:t>
            </w:r>
            <w:r>
              <w:rPr>
                <w:rFonts w:cs="Shruti"/>
                <w:bCs/>
                <w:iCs/>
                <w:sz w:val="22"/>
              </w:rPr>
              <w:t>.</w:t>
            </w:r>
          </w:p>
          <w:p w14:paraId="267E58AD" w14:textId="77777777" w:rsidR="003815D2" w:rsidRDefault="003815D2" w:rsidP="003815D2">
            <w:pPr>
              <w:pStyle w:val="ListParagraph"/>
              <w:spacing w:before="60" w:after="60"/>
              <w:ind w:left="284"/>
              <w:rPr>
                <w:rFonts w:cs="Arial"/>
                <w:sz w:val="22"/>
              </w:rPr>
            </w:pPr>
          </w:p>
          <w:p w14:paraId="6E588E05" w14:textId="7AFCE8EC" w:rsidR="00765C0E" w:rsidRDefault="002645BE" w:rsidP="003815D2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 xml:space="preserve">Key </w:t>
            </w:r>
            <w:r w:rsidR="000A063A"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Interfaces</w:t>
            </w:r>
          </w:p>
          <w:p w14:paraId="09AE730D" w14:textId="033680B5" w:rsidR="0097053F" w:rsidRPr="0097053F" w:rsidRDefault="00D03D87" w:rsidP="0097053F">
            <w:pPr>
              <w:pStyle w:val="ListParagraph"/>
              <w:numPr>
                <w:ilvl w:val="0"/>
                <w:numId w:val="17"/>
              </w:numPr>
              <w:rPr>
                <w:rFonts w:cs="Shruti"/>
                <w:iCs/>
                <w:sz w:val="22"/>
              </w:rPr>
            </w:pPr>
            <w:r>
              <w:rPr>
                <w:rFonts w:cs="Shruti"/>
                <w:iCs/>
                <w:sz w:val="22"/>
              </w:rPr>
              <w:t>Commercial Finance</w:t>
            </w:r>
            <w:r w:rsidR="0097053F" w:rsidRPr="0097053F">
              <w:rPr>
                <w:rFonts w:cs="Shruti"/>
                <w:iCs/>
                <w:sz w:val="22"/>
              </w:rPr>
              <w:t xml:space="preserve"> Leadership Teams – Build rapport and challenge with credibility. </w:t>
            </w:r>
          </w:p>
          <w:p w14:paraId="04807AB0" w14:textId="60FB5681" w:rsidR="0097053F" w:rsidRPr="0097053F" w:rsidRDefault="00D03D87" w:rsidP="0097053F">
            <w:pPr>
              <w:pStyle w:val="ListParagraph"/>
              <w:numPr>
                <w:ilvl w:val="0"/>
                <w:numId w:val="17"/>
              </w:numPr>
              <w:rPr>
                <w:rFonts w:cs="Shruti"/>
                <w:iCs/>
                <w:sz w:val="22"/>
              </w:rPr>
            </w:pPr>
            <w:r>
              <w:rPr>
                <w:rFonts w:cs="Shruti"/>
                <w:iCs/>
                <w:sz w:val="22"/>
              </w:rPr>
              <w:t>SF and Commercial Finance</w:t>
            </w:r>
            <w:r w:rsidR="0097053F" w:rsidRPr="0097053F">
              <w:rPr>
                <w:rFonts w:cs="Shruti"/>
                <w:iCs/>
                <w:sz w:val="22"/>
              </w:rPr>
              <w:t xml:space="preserve"> Frontline Teams – Collaborate on new business and in-life credit stewardship proposals. </w:t>
            </w:r>
          </w:p>
          <w:p w14:paraId="4FEF77EB" w14:textId="688E5949" w:rsidR="0097053F" w:rsidRPr="0097053F" w:rsidRDefault="0097053F" w:rsidP="0097053F">
            <w:pPr>
              <w:pStyle w:val="ListParagraph"/>
              <w:numPr>
                <w:ilvl w:val="0"/>
                <w:numId w:val="17"/>
              </w:numPr>
              <w:rPr>
                <w:rFonts w:cs="Shruti"/>
                <w:iCs/>
                <w:sz w:val="22"/>
              </w:rPr>
            </w:pPr>
            <w:r w:rsidRPr="0097053F">
              <w:rPr>
                <w:rFonts w:cs="Shruti"/>
                <w:iCs/>
                <w:sz w:val="22"/>
              </w:rPr>
              <w:t xml:space="preserve">Executive Risk Committee – Present </w:t>
            </w:r>
            <w:r w:rsidR="00D03D87">
              <w:rPr>
                <w:rFonts w:cs="Shruti"/>
                <w:iCs/>
                <w:sz w:val="22"/>
              </w:rPr>
              <w:t>SF</w:t>
            </w:r>
            <w:r w:rsidRPr="0097053F">
              <w:rPr>
                <w:rFonts w:cs="Shruti"/>
                <w:iCs/>
                <w:sz w:val="22"/>
              </w:rPr>
              <w:t xml:space="preserve"> MI and policy amendments. </w:t>
            </w:r>
          </w:p>
          <w:p w14:paraId="79C70DB7" w14:textId="0FB717A0" w:rsidR="0097053F" w:rsidRPr="0097053F" w:rsidRDefault="0097053F" w:rsidP="0097053F">
            <w:pPr>
              <w:pStyle w:val="ListParagraph"/>
              <w:numPr>
                <w:ilvl w:val="0"/>
                <w:numId w:val="17"/>
              </w:numPr>
              <w:rPr>
                <w:rFonts w:cs="Shruti"/>
                <w:b/>
                <w:i/>
                <w:sz w:val="22"/>
              </w:rPr>
            </w:pPr>
            <w:r w:rsidRPr="0097053F">
              <w:rPr>
                <w:rFonts w:cs="Shruti"/>
                <w:iCs/>
                <w:sz w:val="22"/>
              </w:rPr>
              <w:lastRenderedPageBreak/>
              <w:t>Group Functions (Finance, Risk, Compliance, Marketing, Change, People) – Support the establishment of the new credit risk team and ensure cross-functional alignment</w:t>
            </w:r>
            <w:r w:rsidRPr="0097053F">
              <w:rPr>
                <w:rFonts w:cs="Shruti"/>
                <w:b/>
                <w:i/>
                <w:sz w:val="22"/>
              </w:rPr>
              <w:t>.</w:t>
            </w:r>
          </w:p>
          <w:p w14:paraId="564D4FB9" w14:textId="77777777" w:rsidR="00754573" w:rsidRPr="00BB00E5" w:rsidRDefault="00754573" w:rsidP="00607FF6">
            <w:pPr>
              <w:pStyle w:val="ListParagraph"/>
              <w:ind w:left="283"/>
              <w:rPr>
                <w:rFonts w:cs="Shruti"/>
                <w:sz w:val="22"/>
              </w:rPr>
            </w:pPr>
          </w:p>
        </w:tc>
      </w:tr>
      <w:tr w:rsidR="002645BE" w:rsidRPr="00BB00E5" w14:paraId="7030AF4D" w14:textId="77777777" w:rsidTr="009805FD">
        <w:trPr>
          <w:trHeight w:val="1431"/>
        </w:trPr>
        <w:tc>
          <w:tcPr>
            <w:tcW w:w="1364" w:type="dxa"/>
          </w:tcPr>
          <w:p w14:paraId="48B1E8DB" w14:textId="77777777" w:rsidR="002645BE" w:rsidRPr="00BB00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  <w:p w14:paraId="6C3EEAB4" w14:textId="77777777" w:rsidR="002645BE" w:rsidRPr="00BB00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  <w:r w:rsidRPr="00BB00E5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Specification</w:t>
            </w:r>
          </w:p>
          <w:p w14:paraId="44BEF0BA" w14:textId="77777777" w:rsidR="002645BE" w:rsidRPr="00BB00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</w:tc>
        <w:tc>
          <w:tcPr>
            <w:tcW w:w="9664" w:type="dxa"/>
          </w:tcPr>
          <w:p w14:paraId="6C25FACA" w14:textId="77777777" w:rsidR="00CE0014" w:rsidRPr="00BB00E5" w:rsidRDefault="00CE0014" w:rsidP="002645BE">
            <w:pPr>
              <w:spacing w:after="0" w:line="240" w:lineRule="auto"/>
              <w:rPr>
                <w:rFonts w:asciiTheme="minorHAnsi" w:eastAsiaTheme="minorHAnsi" w:hAnsiTheme="minorHAnsi" w:cs="Shruti"/>
                <w:i/>
                <w:sz w:val="22"/>
                <w:szCs w:val="22"/>
                <w:lang w:val="en-GB"/>
              </w:rPr>
            </w:pPr>
          </w:p>
          <w:p w14:paraId="081314D1" w14:textId="10CBFE00" w:rsidR="000E1675" w:rsidRDefault="00472C37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Skills/</w:t>
            </w:r>
            <w:r w:rsidR="002645BE"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Knowledge</w:t>
            </w:r>
            <w:r w:rsidR="000A063A"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/Experience</w:t>
            </w:r>
          </w:p>
          <w:p w14:paraId="5C0C0C4D" w14:textId="5540D311" w:rsidR="009805FD" w:rsidRDefault="009805FD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</w:p>
          <w:p w14:paraId="5E494DAF" w14:textId="77777777" w:rsidR="0097053F" w:rsidRPr="0097053F" w:rsidRDefault="0097053F" w:rsidP="0097053F">
            <w:pPr>
              <w:numPr>
                <w:ilvl w:val="0"/>
                <w:numId w:val="19"/>
              </w:numPr>
              <w:spacing w:after="0" w:line="240" w:lineRule="auto"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Educated to degree level or equivalent professional qualification.</w:t>
            </w:r>
          </w:p>
          <w:p w14:paraId="3D36116F" w14:textId="77777777" w:rsidR="0097053F" w:rsidRDefault="0097053F" w:rsidP="0097053F">
            <w:pPr>
              <w:numPr>
                <w:ilvl w:val="0"/>
                <w:numId w:val="19"/>
              </w:numPr>
              <w:spacing w:after="0" w:line="240" w:lineRule="auto"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Alternatively, demonstrable experience in credit risk and bridging finance.</w:t>
            </w:r>
          </w:p>
          <w:p w14:paraId="5AF0DE87" w14:textId="77777777" w:rsidR="0097053F" w:rsidRPr="0097053F" w:rsidRDefault="0097053F" w:rsidP="0097053F">
            <w:pPr>
              <w:spacing w:after="0" w:line="240" w:lineRule="auto"/>
              <w:ind w:left="720"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</w:p>
          <w:p w14:paraId="5E47A783" w14:textId="77777777" w:rsidR="0097053F" w:rsidRPr="0097053F" w:rsidRDefault="0097053F" w:rsidP="0097053F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97053F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Experience</w:t>
            </w:r>
          </w:p>
          <w:p w14:paraId="7DF244C5" w14:textId="27FC8972" w:rsidR="0097053F" w:rsidRPr="0097053F" w:rsidRDefault="0097053F" w:rsidP="0097053F">
            <w:pPr>
              <w:numPr>
                <w:ilvl w:val="0"/>
                <w:numId w:val="20"/>
              </w:numPr>
              <w:spacing w:after="0" w:line="240" w:lineRule="auto"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 xml:space="preserve">Minimum of 15 years’ experience in credit risk, with a strong background in </w:t>
            </w:r>
            <w:r w:rsidR="00D03D87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SF or similar</w:t>
            </w:r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lending</w:t>
            </w:r>
            <w:r w:rsidR="00E439D7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;,</w:t>
            </w:r>
            <w:proofErr w:type="gramEnd"/>
            <w:r w:rsidR="00E439D7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 xml:space="preserve"> transactions are typically structured as borrowing base facilities or block discounting facilities. </w:t>
            </w:r>
          </w:p>
          <w:p w14:paraId="52454741" w14:textId="77777777" w:rsidR="0097053F" w:rsidRPr="0097053F" w:rsidRDefault="0097053F" w:rsidP="0097053F">
            <w:pPr>
              <w:numPr>
                <w:ilvl w:val="0"/>
                <w:numId w:val="20"/>
              </w:numPr>
              <w:spacing w:after="0" w:line="240" w:lineRule="auto"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Proven ability to deliver sound credit judgments and gain credibility with senior stakeholders.</w:t>
            </w:r>
          </w:p>
          <w:p w14:paraId="3B604B16" w14:textId="77777777" w:rsidR="0097053F" w:rsidRDefault="0097053F" w:rsidP="0097053F">
            <w:pPr>
              <w:spacing w:after="0" w:line="240" w:lineRule="auto"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</w:p>
          <w:p w14:paraId="46CB7509" w14:textId="6595B57C" w:rsidR="0097053F" w:rsidRPr="0097053F" w:rsidRDefault="0097053F" w:rsidP="0097053F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97053F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Skills and Knowledge</w:t>
            </w:r>
          </w:p>
          <w:p w14:paraId="0655ADBE" w14:textId="3B485F1A" w:rsidR="0097053F" w:rsidRPr="0097053F" w:rsidRDefault="0097053F" w:rsidP="0097053F">
            <w:pPr>
              <w:numPr>
                <w:ilvl w:val="0"/>
                <w:numId w:val="21"/>
              </w:numPr>
              <w:spacing w:after="0" w:line="240" w:lineRule="auto"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 xml:space="preserve">Deep understanding of </w:t>
            </w:r>
            <w:r w:rsidR="00D03D87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SF</w:t>
            </w:r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 xml:space="preserve"> and credit risk management.</w:t>
            </w:r>
          </w:p>
          <w:p w14:paraId="1FF712D7" w14:textId="77777777" w:rsidR="0097053F" w:rsidRPr="0097053F" w:rsidRDefault="0097053F" w:rsidP="0097053F">
            <w:pPr>
              <w:numPr>
                <w:ilvl w:val="0"/>
                <w:numId w:val="21"/>
              </w:numPr>
              <w:spacing w:after="0" w:line="240" w:lineRule="auto"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Strong commercial acumen and ability to balance risk with business growth.</w:t>
            </w:r>
          </w:p>
          <w:p w14:paraId="649A7A26" w14:textId="77777777" w:rsidR="0097053F" w:rsidRPr="0097053F" w:rsidRDefault="0097053F" w:rsidP="0097053F">
            <w:pPr>
              <w:numPr>
                <w:ilvl w:val="0"/>
                <w:numId w:val="21"/>
              </w:numPr>
              <w:spacing w:after="0" w:line="240" w:lineRule="auto"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Expertise in regulatory compliance including FCA/PRA standards, KYC/KYB, and money laundering regulations.</w:t>
            </w:r>
          </w:p>
          <w:p w14:paraId="154CFEEA" w14:textId="77777777" w:rsidR="0097053F" w:rsidRPr="0097053F" w:rsidRDefault="0097053F" w:rsidP="0097053F">
            <w:pPr>
              <w:numPr>
                <w:ilvl w:val="0"/>
                <w:numId w:val="21"/>
              </w:numPr>
              <w:spacing w:after="0" w:line="240" w:lineRule="auto"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Skilled in structuring complex transactions and managing in-life credit risk.</w:t>
            </w:r>
          </w:p>
          <w:p w14:paraId="45DC1B31" w14:textId="77777777" w:rsidR="0097053F" w:rsidRPr="0097053F" w:rsidRDefault="0097053F" w:rsidP="0097053F">
            <w:pPr>
              <w:numPr>
                <w:ilvl w:val="0"/>
                <w:numId w:val="21"/>
              </w:numPr>
              <w:spacing w:after="0" w:line="240" w:lineRule="auto"/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</w:pPr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Effective communicator with the ability to influence and collaborate across functions.</w:t>
            </w:r>
          </w:p>
          <w:p w14:paraId="6F49CBF2" w14:textId="463DD69E" w:rsidR="009805FD" w:rsidRPr="0097053F" w:rsidRDefault="0097053F" w:rsidP="001E01FC">
            <w:pPr>
              <w:numPr>
                <w:ilvl w:val="0"/>
                <w:numId w:val="21"/>
              </w:num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97053F">
              <w:rPr>
                <w:rFonts w:asciiTheme="minorHAnsi" w:eastAsiaTheme="minorHAnsi" w:hAnsiTheme="minorHAnsi" w:cs="Shruti"/>
                <w:bCs/>
                <w:iCs/>
                <w:sz w:val="22"/>
                <w:szCs w:val="22"/>
                <w:lang w:val="en-GB"/>
              </w:rPr>
              <w:t>Commitment to continuous improvement and innovation in credit processes and policy</w:t>
            </w:r>
          </w:p>
          <w:p w14:paraId="1C3A8F18" w14:textId="77777777" w:rsidR="009805FD" w:rsidRPr="00BB00E5" w:rsidRDefault="009805FD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</w:p>
          <w:p w14:paraId="44211DCF" w14:textId="77777777" w:rsidR="000E1675" w:rsidRPr="00BB00E5" w:rsidRDefault="000E1675" w:rsidP="002645BE">
            <w:pPr>
              <w:spacing w:after="0" w:line="240" w:lineRule="auto"/>
              <w:rPr>
                <w:rFonts w:asciiTheme="minorHAnsi" w:eastAsiaTheme="minorHAnsi" w:hAnsiTheme="minorHAnsi" w:cs="Shruti"/>
                <w:i/>
                <w:sz w:val="22"/>
                <w:szCs w:val="22"/>
                <w:lang w:val="en-GB"/>
              </w:rPr>
            </w:pPr>
          </w:p>
          <w:p w14:paraId="458169E9" w14:textId="77777777" w:rsidR="002645BE" w:rsidRPr="003815D2" w:rsidRDefault="00743153" w:rsidP="003815D2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BB00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Competencies</w:t>
            </w:r>
          </w:p>
          <w:p w14:paraId="10C8F613" w14:textId="77777777" w:rsidR="003815D2" w:rsidRDefault="003815D2" w:rsidP="003815D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Risk Aware – We keep our </w:t>
            </w:r>
            <w:proofErr w:type="spellStart"/>
            <w:r>
              <w:rPr>
                <w:rFonts w:cs="Arial"/>
                <w:sz w:val="22"/>
              </w:rPr>
              <w:t>custmers</w:t>
            </w:r>
            <w:proofErr w:type="spellEnd"/>
            <w:r>
              <w:rPr>
                <w:rFonts w:cs="Arial"/>
                <w:sz w:val="22"/>
              </w:rPr>
              <w:t xml:space="preserve"> and ourselves safe and secure </w:t>
            </w:r>
          </w:p>
          <w:p w14:paraId="0894F5FF" w14:textId="77777777" w:rsidR="003815D2" w:rsidRDefault="003815D2" w:rsidP="003815D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Customer focused – Our customers are at the heart of everything we do </w:t>
            </w:r>
          </w:p>
          <w:p w14:paraId="55ADE8DD" w14:textId="42994878" w:rsidR="003815D2" w:rsidRDefault="003815D2" w:rsidP="003815D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Ownership – Being accountable and t</w:t>
            </w:r>
            <w:r w:rsidR="000501C0">
              <w:rPr>
                <w:rFonts w:cs="Arial"/>
                <w:sz w:val="22"/>
              </w:rPr>
              <w:t>a</w:t>
            </w:r>
            <w:r>
              <w:rPr>
                <w:rFonts w:cs="Arial"/>
                <w:sz w:val="22"/>
              </w:rPr>
              <w:t>king responsibility for our actions</w:t>
            </w:r>
          </w:p>
          <w:p w14:paraId="0BCB4D17" w14:textId="77777777" w:rsidR="003815D2" w:rsidRDefault="003815D2" w:rsidP="003815D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Performance Driven – To become the best bank in Britain we need to be accountable for what we do</w:t>
            </w:r>
          </w:p>
          <w:p w14:paraId="115926ED" w14:textId="77777777" w:rsidR="000E1675" w:rsidRPr="003815D2" w:rsidRDefault="003815D2" w:rsidP="003815D2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Arial"/>
                <w:sz w:val="22"/>
              </w:rPr>
            </w:pPr>
            <w:r w:rsidRPr="004B3A8F">
              <w:rPr>
                <w:rFonts w:cs="Arial"/>
                <w:sz w:val="22"/>
              </w:rPr>
              <w:t xml:space="preserve">Team Oriented </w:t>
            </w:r>
            <w:r>
              <w:rPr>
                <w:rFonts w:cs="Arial"/>
                <w:sz w:val="22"/>
              </w:rPr>
              <w:t xml:space="preserve">– We achieve more when we work well together </w:t>
            </w:r>
          </w:p>
          <w:p w14:paraId="24371516" w14:textId="77777777" w:rsidR="000E1675" w:rsidRPr="00BB00E5" w:rsidRDefault="000E1675" w:rsidP="0081467D">
            <w:pPr>
              <w:tabs>
                <w:tab w:val="left" w:pos="2684"/>
              </w:tabs>
              <w:spacing w:after="0" w:line="240" w:lineRule="auto"/>
              <w:rPr>
                <w:rFonts w:asciiTheme="minorHAnsi" w:hAnsiTheme="minorHAnsi" w:cs="Shruti"/>
                <w:sz w:val="22"/>
              </w:rPr>
            </w:pPr>
          </w:p>
        </w:tc>
      </w:tr>
    </w:tbl>
    <w:p w14:paraId="16C213A9" w14:textId="77777777" w:rsidR="000A3866" w:rsidRPr="00BB00E5" w:rsidRDefault="000A3866" w:rsidP="003815D2">
      <w:pPr>
        <w:rPr>
          <w:rFonts w:asciiTheme="minorHAnsi" w:hAnsiTheme="minorHAnsi" w:cs="Shruti"/>
        </w:rPr>
      </w:pPr>
    </w:p>
    <w:sectPr w:rsidR="000A3866" w:rsidRPr="00BB00E5" w:rsidSect="002645BE">
      <w:footerReference w:type="even" r:id="rId12"/>
      <w:footerReference w:type="default" r:id="rId13"/>
      <w:footerReference w:type="first" r:id="rId14"/>
      <w:pgSz w:w="12240" w:h="15840"/>
      <w:pgMar w:top="426" w:right="1800" w:bottom="56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082E" w14:textId="77777777" w:rsidR="00667C58" w:rsidRDefault="00667C58" w:rsidP="003815D2">
      <w:pPr>
        <w:spacing w:after="0" w:line="240" w:lineRule="auto"/>
      </w:pPr>
      <w:r>
        <w:separator/>
      </w:r>
    </w:p>
  </w:endnote>
  <w:endnote w:type="continuationSeparator" w:id="0">
    <w:p w14:paraId="06D9D755" w14:textId="77777777" w:rsidR="00667C58" w:rsidRDefault="00667C58" w:rsidP="0038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6F2A" w14:textId="54E53B97" w:rsidR="00B226A7" w:rsidRDefault="00B226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BE02D" wp14:editId="675A291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8F232" w14:textId="1BF0490D" w:rsidR="00B226A7" w:rsidRPr="00B226A7" w:rsidRDefault="00B226A7" w:rsidP="00B226A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226A7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BE0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mpany Confidenti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5578F232" w14:textId="1BF0490D" w:rsidR="00B226A7" w:rsidRPr="00B226A7" w:rsidRDefault="00B226A7" w:rsidP="00B226A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226A7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3602" w14:textId="03B0C2F6" w:rsidR="003815D2" w:rsidRPr="003815D2" w:rsidRDefault="00B226A7">
    <w:pPr>
      <w:pStyle w:val="Footer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33FC02" wp14:editId="7D94603F">
              <wp:simplePos x="1143000" y="945832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C29BE" w14:textId="00CA5DDB" w:rsidR="00B226A7" w:rsidRPr="00B226A7" w:rsidRDefault="00B226A7" w:rsidP="00B226A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226A7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3FC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ompany Confidenti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6DAC29BE" w14:textId="00CA5DDB" w:rsidR="00B226A7" w:rsidRPr="00B226A7" w:rsidRDefault="00B226A7" w:rsidP="00B226A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226A7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15D2" w:rsidRPr="003815D2">
      <w:rPr>
        <w:sz w:val="18"/>
      </w:rPr>
      <w:t xml:space="preserve">Role Profile </w:t>
    </w:r>
    <w:r w:rsidR="00607FF6">
      <w:rPr>
        <w:sz w:val="18"/>
      </w:rPr>
      <w:t>[job title]</w:t>
    </w:r>
    <w:r w:rsidR="003815D2" w:rsidRPr="003815D2">
      <w:rPr>
        <w:sz w:val="18"/>
      </w:rPr>
      <w:ptab w:relativeTo="margin" w:alignment="center" w:leader="none"/>
    </w:r>
    <w:r w:rsidR="003815D2" w:rsidRPr="003815D2">
      <w:rPr>
        <w:sz w:val="18"/>
      </w:rPr>
      <w:t xml:space="preserve">Page </w:t>
    </w:r>
    <w:r w:rsidR="003815D2" w:rsidRPr="003815D2">
      <w:rPr>
        <w:b/>
        <w:bCs/>
        <w:sz w:val="18"/>
      </w:rPr>
      <w:fldChar w:fldCharType="begin"/>
    </w:r>
    <w:r w:rsidR="003815D2" w:rsidRPr="003815D2">
      <w:rPr>
        <w:b/>
        <w:bCs/>
        <w:sz w:val="18"/>
      </w:rPr>
      <w:instrText xml:space="preserve"> PAGE  \* Arabic  \* MERGEFORMAT </w:instrText>
    </w:r>
    <w:r w:rsidR="003815D2" w:rsidRPr="003815D2">
      <w:rPr>
        <w:b/>
        <w:bCs/>
        <w:sz w:val="18"/>
      </w:rPr>
      <w:fldChar w:fldCharType="separate"/>
    </w:r>
    <w:r w:rsidR="00F1571E">
      <w:rPr>
        <w:b/>
        <w:bCs/>
        <w:noProof/>
        <w:sz w:val="18"/>
      </w:rPr>
      <w:t>2</w:t>
    </w:r>
    <w:r w:rsidR="003815D2" w:rsidRPr="003815D2">
      <w:rPr>
        <w:b/>
        <w:bCs/>
        <w:sz w:val="18"/>
      </w:rPr>
      <w:fldChar w:fldCharType="end"/>
    </w:r>
    <w:r w:rsidR="003815D2" w:rsidRPr="003815D2">
      <w:rPr>
        <w:sz w:val="18"/>
      </w:rPr>
      <w:t xml:space="preserve"> of </w:t>
    </w:r>
    <w:r w:rsidR="003815D2" w:rsidRPr="003815D2">
      <w:rPr>
        <w:b/>
        <w:bCs/>
        <w:sz w:val="18"/>
      </w:rPr>
      <w:fldChar w:fldCharType="begin"/>
    </w:r>
    <w:r w:rsidR="003815D2" w:rsidRPr="003815D2">
      <w:rPr>
        <w:b/>
        <w:bCs/>
        <w:sz w:val="18"/>
      </w:rPr>
      <w:instrText xml:space="preserve"> NUMPAGES  \* Arabic  \* MERGEFORMAT </w:instrText>
    </w:r>
    <w:r w:rsidR="003815D2" w:rsidRPr="003815D2">
      <w:rPr>
        <w:b/>
        <w:bCs/>
        <w:sz w:val="18"/>
      </w:rPr>
      <w:fldChar w:fldCharType="separate"/>
    </w:r>
    <w:r w:rsidR="00F1571E">
      <w:rPr>
        <w:b/>
        <w:bCs/>
        <w:noProof/>
        <w:sz w:val="18"/>
      </w:rPr>
      <w:t>2</w:t>
    </w:r>
    <w:r w:rsidR="003815D2" w:rsidRPr="003815D2">
      <w:rPr>
        <w:b/>
        <w:bCs/>
        <w:sz w:val="18"/>
      </w:rPr>
      <w:fldChar w:fldCharType="end"/>
    </w:r>
    <w:r w:rsidR="003815D2" w:rsidRPr="003815D2">
      <w:rPr>
        <w:sz w:val="18"/>
      </w:rPr>
      <w:ptab w:relativeTo="margin" w:alignment="right" w:leader="none"/>
    </w:r>
    <w:r w:rsidR="00607FF6">
      <w:rPr>
        <w:sz w:val="18"/>
      </w:rPr>
      <w:t>[date]</w:t>
    </w:r>
    <w:r w:rsidR="003815D2">
      <w:rPr>
        <w:sz w:val="18"/>
      </w:rPr>
      <w:t xml:space="preserve"> – 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2CA2" w14:textId="3743D4D4" w:rsidR="00B226A7" w:rsidRDefault="00B226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48A002" wp14:editId="1A6CC16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09A2C" w14:textId="2A276878" w:rsidR="00B226A7" w:rsidRPr="00B226A7" w:rsidRDefault="00B226A7" w:rsidP="00B226A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B226A7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8A0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mpany Confidenti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8009A2C" w14:textId="2A276878" w:rsidR="00B226A7" w:rsidRPr="00B226A7" w:rsidRDefault="00B226A7" w:rsidP="00B226A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B226A7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51985" w14:textId="77777777" w:rsidR="00667C58" w:rsidRDefault="00667C58" w:rsidP="003815D2">
      <w:pPr>
        <w:spacing w:after="0" w:line="240" w:lineRule="auto"/>
      </w:pPr>
      <w:r>
        <w:separator/>
      </w:r>
    </w:p>
  </w:footnote>
  <w:footnote w:type="continuationSeparator" w:id="0">
    <w:p w14:paraId="65AFC52C" w14:textId="77777777" w:rsidR="00667C58" w:rsidRDefault="00667C58" w:rsidP="00381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A88E9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1F820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5340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396B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2437D16"/>
    <w:multiLevelType w:val="hybridMultilevel"/>
    <w:tmpl w:val="66D8F6FE"/>
    <w:lvl w:ilvl="0" w:tplc="8FA4EF0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645264"/>
    <w:multiLevelType w:val="hybridMultilevel"/>
    <w:tmpl w:val="07D00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000212"/>
    <w:multiLevelType w:val="hybridMultilevel"/>
    <w:tmpl w:val="4F9A5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9F7599"/>
    <w:multiLevelType w:val="multilevel"/>
    <w:tmpl w:val="95A8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469C2"/>
    <w:multiLevelType w:val="multilevel"/>
    <w:tmpl w:val="2DE0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76A01"/>
    <w:multiLevelType w:val="hybridMultilevel"/>
    <w:tmpl w:val="FD3A56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21029B"/>
    <w:multiLevelType w:val="hybridMultilevel"/>
    <w:tmpl w:val="3294C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5C1D0F"/>
    <w:multiLevelType w:val="multilevel"/>
    <w:tmpl w:val="06B2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E2B4E"/>
    <w:multiLevelType w:val="hybridMultilevel"/>
    <w:tmpl w:val="FF4E1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1B611C"/>
    <w:multiLevelType w:val="hybridMultilevel"/>
    <w:tmpl w:val="4F84E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96F48"/>
    <w:multiLevelType w:val="hybridMultilevel"/>
    <w:tmpl w:val="B6906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368CF"/>
    <w:multiLevelType w:val="hybridMultilevel"/>
    <w:tmpl w:val="3210EE74"/>
    <w:lvl w:ilvl="0" w:tplc="8FA4EF0C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9818E1"/>
    <w:multiLevelType w:val="hybridMultilevel"/>
    <w:tmpl w:val="4BF44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5B7F02"/>
    <w:multiLevelType w:val="hybridMultilevel"/>
    <w:tmpl w:val="885EF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40EAE"/>
    <w:multiLevelType w:val="hybridMultilevel"/>
    <w:tmpl w:val="72349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6520030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59334738">
    <w:abstractNumId w:val="17"/>
  </w:num>
  <w:num w:numId="3" w16cid:durableId="1441022960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647707640">
    <w:abstractNumId w:val="3"/>
  </w:num>
  <w:num w:numId="5" w16cid:durableId="674649640">
    <w:abstractNumId w:val="2"/>
  </w:num>
  <w:num w:numId="6" w16cid:durableId="639462169">
    <w:abstractNumId w:val="1"/>
  </w:num>
  <w:num w:numId="7" w16cid:durableId="1299409579">
    <w:abstractNumId w:val="0"/>
  </w:num>
  <w:num w:numId="8" w16cid:durableId="1556159711">
    <w:abstractNumId w:val="10"/>
  </w:num>
  <w:num w:numId="9" w16cid:durableId="1457486805">
    <w:abstractNumId w:val="11"/>
  </w:num>
  <w:num w:numId="10" w16cid:durableId="41754673">
    <w:abstractNumId w:val="19"/>
  </w:num>
  <w:num w:numId="11" w16cid:durableId="445538269">
    <w:abstractNumId w:val="13"/>
  </w:num>
  <w:num w:numId="12" w16cid:durableId="536554209">
    <w:abstractNumId w:val="14"/>
  </w:num>
  <w:num w:numId="13" w16cid:durableId="776026055">
    <w:abstractNumId w:val="7"/>
  </w:num>
  <w:num w:numId="14" w16cid:durableId="398989198">
    <w:abstractNumId w:val="15"/>
  </w:num>
  <w:num w:numId="15" w16cid:durableId="723796560">
    <w:abstractNumId w:val="5"/>
  </w:num>
  <w:num w:numId="16" w16cid:durableId="1769158394">
    <w:abstractNumId w:val="16"/>
  </w:num>
  <w:num w:numId="17" w16cid:durableId="311982668">
    <w:abstractNumId w:val="6"/>
  </w:num>
  <w:num w:numId="18" w16cid:durableId="9455483">
    <w:abstractNumId w:val="18"/>
  </w:num>
  <w:num w:numId="19" w16cid:durableId="1915898415">
    <w:abstractNumId w:val="8"/>
  </w:num>
  <w:num w:numId="20" w16cid:durableId="356351309">
    <w:abstractNumId w:val="9"/>
  </w:num>
  <w:num w:numId="21" w16cid:durableId="66659697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E8"/>
    <w:rsid w:val="00000F6F"/>
    <w:rsid w:val="00010989"/>
    <w:rsid w:val="00016BAC"/>
    <w:rsid w:val="000255F2"/>
    <w:rsid w:val="000501C0"/>
    <w:rsid w:val="00051A30"/>
    <w:rsid w:val="00051AE2"/>
    <w:rsid w:val="00057DD9"/>
    <w:rsid w:val="000A063A"/>
    <w:rsid w:val="000A2288"/>
    <w:rsid w:val="000A3866"/>
    <w:rsid w:val="000A5BB6"/>
    <w:rsid w:val="000B2AD5"/>
    <w:rsid w:val="000B3B37"/>
    <w:rsid w:val="000C1CA2"/>
    <w:rsid w:val="000D4EE8"/>
    <w:rsid w:val="000E1675"/>
    <w:rsid w:val="000F64F3"/>
    <w:rsid w:val="000F6C5A"/>
    <w:rsid w:val="00114FFD"/>
    <w:rsid w:val="001161A6"/>
    <w:rsid w:val="00122916"/>
    <w:rsid w:val="00133F4C"/>
    <w:rsid w:val="001348F6"/>
    <w:rsid w:val="00147984"/>
    <w:rsid w:val="00175D1B"/>
    <w:rsid w:val="001870D9"/>
    <w:rsid w:val="00194580"/>
    <w:rsid w:val="001A1230"/>
    <w:rsid w:val="001B23F7"/>
    <w:rsid w:val="001E6B7D"/>
    <w:rsid w:val="001F00F7"/>
    <w:rsid w:val="00201A3C"/>
    <w:rsid w:val="00204167"/>
    <w:rsid w:val="002070CF"/>
    <w:rsid w:val="00246B72"/>
    <w:rsid w:val="00246C51"/>
    <w:rsid w:val="00250317"/>
    <w:rsid w:val="002508ED"/>
    <w:rsid w:val="00250EFA"/>
    <w:rsid w:val="00250FCB"/>
    <w:rsid w:val="002645BE"/>
    <w:rsid w:val="002649C8"/>
    <w:rsid w:val="00284ECB"/>
    <w:rsid w:val="00286429"/>
    <w:rsid w:val="002A09DF"/>
    <w:rsid w:val="002B272E"/>
    <w:rsid w:val="002F4DFF"/>
    <w:rsid w:val="00320865"/>
    <w:rsid w:val="003274F9"/>
    <w:rsid w:val="00331D6A"/>
    <w:rsid w:val="003358C3"/>
    <w:rsid w:val="00366455"/>
    <w:rsid w:val="00372CBD"/>
    <w:rsid w:val="003815D2"/>
    <w:rsid w:val="00387916"/>
    <w:rsid w:val="0039341A"/>
    <w:rsid w:val="003A387D"/>
    <w:rsid w:val="003B1453"/>
    <w:rsid w:val="003E27D3"/>
    <w:rsid w:val="003E7499"/>
    <w:rsid w:val="00403636"/>
    <w:rsid w:val="00403BAB"/>
    <w:rsid w:val="004060F8"/>
    <w:rsid w:val="00410D7C"/>
    <w:rsid w:val="0042497F"/>
    <w:rsid w:val="0043497B"/>
    <w:rsid w:val="004635A5"/>
    <w:rsid w:val="0046590B"/>
    <w:rsid w:val="00467150"/>
    <w:rsid w:val="004727F8"/>
    <w:rsid w:val="00472C37"/>
    <w:rsid w:val="004B0050"/>
    <w:rsid w:val="00506FE0"/>
    <w:rsid w:val="00515D88"/>
    <w:rsid w:val="00517BAC"/>
    <w:rsid w:val="00522F64"/>
    <w:rsid w:val="005405EC"/>
    <w:rsid w:val="005440E1"/>
    <w:rsid w:val="0054564A"/>
    <w:rsid w:val="00565798"/>
    <w:rsid w:val="00567D92"/>
    <w:rsid w:val="00576989"/>
    <w:rsid w:val="00592803"/>
    <w:rsid w:val="005A2901"/>
    <w:rsid w:val="005D448D"/>
    <w:rsid w:val="005D6698"/>
    <w:rsid w:val="005E4B35"/>
    <w:rsid w:val="00607FF6"/>
    <w:rsid w:val="00625B9E"/>
    <w:rsid w:val="00637D6A"/>
    <w:rsid w:val="00651DB0"/>
    <w:rsid w:val="0065233C"/>
    <w:rsid w:val="00667C58"/>
    <w:rsid w:val="0068188E"/>
    <w:rsid w:val="006A5F77"/>
    <w:rsid w:val="006B37AE"/>
    <w:rsid w:val="006C54A0"/>
    <w:rsid w:val="007130C5"/>
    <w:rsid w:val="007323C5"/>
    <w:rsid w:val="00743153"/>
    <w:rsid w:val="0074629C"/>
    <w:rsid w:val="00754573"/>
    <w:rsid w:val="00765C0E"/>
    <w:rsid w:val="00770FC6"/>
    <w:rsid w:val="00775132"/>
    <w:rsid w:val="0078337A"/>
    <w:rsid w:val="0079362B"/>
    <w:rsid w:val="00795652"/>
    <w:rsid w:val="007A128E"/>
    <w:rsid w:val="007A7FF1"/>
    <w:rsid w:val="007D16E2"/>
    <w:rsid w:val="0081467D"/>
    <w:rsid w:val="00841AC5"/>
    <w:rsid w:val="008446F3"/>
    <w:rsid w:val="00860CA4"/>
    <w:rsid w:val="00884D7C"/>
    <w:rsid w:val="00885277"/>
    <w:rsid w:val="00886D59"/>
    <w:rsid w:val="00895628"/>
    <w:rsid w:val="008A5B48"/>
    <w:rsid w:val="008D2337"/>
    <w:rsid w:val="008D5791"/>
    <w:rsid w:val="008D5EAF"/>
    <w:rsid w:val="008E3588"/>
    <w:rsid w:val="008F0F52"/>
    <w:rsid w:val="00926FCE"/>
    <w:rsid w:val="0092782B"/>
    <w:rsid w:val="00932509"/>
    <w:rsid w:val="00932DD3"/>
    <w:rsid w:val="00940F76"/>
    <w:rsid w:val="009602E6"/>
    <w:rsid w:val="009610CA"/>
    <w:rsid w:val="0097053F"/>
    <w:rsid w:val="009805FD"/>
    <w:rsid w:val="00996363"/>
    <w:rsid w:val="009E6C61"/>
    <w:rsid w:val="009E73C0"/>
    <w:rsid w:val="00A6514B"/>
    <w:rsid w:val="00A97DF7"/>
    <w:rsid w:val="00AC772B"/>
    <w:rsid w:val="00B156C6"/>
    <w:rsid w:val="00B226A7"/>
    <w:rsid w:val="00B373CA"/>
    <w:rsid w:val="00B66578"/>
    <w:rsid w:val="00B66797"/>
    <w:rsid w:val="00B9637A"/>
    <w:rsid w:val="00BA5B79"/>
    <w:rsid w:val="00BB00E5"/>
    <w:rsid w:val="00BC64F4"/>
    <w:rsid w:val="00BD27F1"/>
    <w:rsid w:val="00BF716C"/>
    <w:rsid w:val="00C00A43"/>
    <w:rsid w:val="00C012C6"/>
    <w:rsid w:val="00C03500"/>
    <w:rsid w:val="00C06656"/>
    <w:rsid w:val="00C375A2"/>
    <w:rsid w:val="00C37F2F"/>
    <w:rsid w:val="00C75B03"/>
    <w:rsid w:val="00C91BAB"/>
    <w:rsid w:val="00C96197"/>
    <w:rsid w:val="00CA25CD"/>
    <w:rsid w:val="00CC5F3F"/>
    <w:rsid w:val="00CE0014"/>
    <w:rsid w:val="00CE1FC7"/>
    <w:rsid w:val="00D03D87"/>
    <w:rsid w:val="00D04320"/>
    <w:rsid w:val="00D2056F"/>
    <w:rsid w:val="00D20F45"/>
    <w:rsid w:val="00D27900"/>
    <w:rsid w:val="00D30CD1"/>
    <w:rsid w:val="00D53801"/>
    <w:rsid w:val="00D91EC3"/>
    <w:rsid w:val="00D9692A"/>
    <w:rsid w:val="00D9711F"/>
    <w:rsid w:val="00DE3962"/>
    <w:rsid w:val="00DF73D8"/>
    <w:rsid w:val="00E11D70"/>
    <w:rsid w:val="00E20D61"/>
    <w:rsid w:val="00E36651"/>
    <w:rsid w:val="00E37B9E"/>
    <w:rsid w:val="00E439D7"/>
    <w:rsid w:val="00E62122"/>
    <w:rsid w:val="00E660AC"/>
    <w:rsid w:val="00E81F00"/>
    <w:rsid w:val="00E96053"/>
    <w:rsid w:val="00EE1304"/>
    <w:rsid w:val="00F0159F"/>
    <w:rsid w:val="00F068AA"/>
    <w:rsid w:val="00F12BC8"/>
    <w:rsid w:val="00F1571E"/>
    <w:rsid w:val="00F15C69"/>
    <w:rsid w:val="00F17483"/>
    <w:rsid w:val="00F24B36"/>
    <w:rsid w:val="00F261CE"/>
    <w:rsid w:val="00F27AD4"/>
    <w:rsid w:val="00F33904"/>
    <w:rsid w:val="00F565D6"/>
    <w:rsid w:val="00F60B64"/>
    <w:rsid w:val="00F84AD1"/>
    <w:rsid w:val="00FA2D82"/>
    <w:rsid w:val="00FD6694"/>
    <w:rsid w:val="00FF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5D80F"/>
  <w15:docId w15:val="{EE5AF2F8-FDEE-416C-84C5-3FB7612C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A3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4671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705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B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0"/>
      <w:szCs w:val="22"/>
      <w:lang w:val="en-GB"/>
    </w:rPr>
  </w:style>
  <w:style w:type="table" w:styleId="TableGrid">
    <w:name w:val="Table Grid"/>
    <w:basedOn w:val="TableNormal"/>
    <w:uiPriority w:val="59"/>
    <w:rsid w:val="002645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2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F6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F6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52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F64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866"/>
    <w:rPr>
      <w:rFonts w:ascii="Times New Roman" w:eastAsia="Times New Roman" w:hAnsi="Times New Roman"/>
      <w:kern w:val="36"/>
      <w:sz w:val="24"/>
      <w:szCs w:val="24"/>
    </w:rPr>
  </w:style>
  <w:style w:type="character" w:styleId="Strong">
    <w:name w:val="Strong"/>
    <w:basedOn w:val="DefaultParagraphFont"/>
    <w:uiPriority w:val="22"/>
    <w:qFormat/>
    <w:rsid w:val="000A3866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0A386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4671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Maintext">
    <w:name w:val="Main text"/>
    <w:basedOn w:val="Normal"/>
    <w:rsid w:val="0042497F"/>
    <w:pPr>
      <w:spacing w:after="120" w:line="240" w:lineRule="auto"/>
      <w:jc w:val="both"/>
    </w:pPr>
    <w:rPr>
      <w:rFonts w:ascii="Times New Roman" w:eastAsiaTheme="minorHAnsi" w:hAnsi="Times New Roman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057DD9"/>
    <w:rPr>
      <w:strike w:val="0"/>
      <w:dstrike w:val="0"/>
      <w:color w:val="777779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932D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32DD3"/>
    <w:rPr>
      <w:rFonts w:ascii="Times New Roman" w:eastAsia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1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5D2"/>
    <w:rPr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7053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E439D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356">
                  <w:marLeft w:val="0"/>
                  <w:marRight w:val="0"/>
                  <w:marTop w:val="100"/>
                  <w:marBottom w:val="100"/>
                  <w:divBdr>
                    <w:top w:val="single" w:sz="18" w:space="6" w:color="888888"/>
                    <w:left w:val="single" w:sz="18" w:space="6" w:color="888888"/>
                    <w:bottom w:val="single" w:sz="18" w:space="6" w:color="888888"/>
                    <w:right w:val="single" w:sz="18" w:space="6" w:color="888888"/>
                  </w:divBdr>
                  <w:divsChild>
                    <w:div w:id="13965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7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0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9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3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7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73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02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635609937906294496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635609937906294496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635609937906294496</Data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9590B0384B34699E14FB78C47D9F4" ma:contentTypeVersion="0" ma:contentTypeDescription="Create a new document." ma:contentTypeScope="" ma:versionID="471d113cf8f195b70938b47eef9ae3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CAD8EC-F5E5-4C80-923A-4F74E377FD8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931951F-6B20-4D97-95DF-17EB1262882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5BC396-D033-4F24-B17B-6EADF8495D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4AE4A0-5D3E-475F-A353-D20E54880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4035</Characters>
  <Application>Microsoft Office Word</Application>
  <DocSecurity>0</DocSecurity>
  <Lines>89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STB Group Role Profile Template</vt:lpstr>
    </vt:vector>
  </TitlesOfParts>
  <Company>Secure Trust Bank PLC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STB Group Role Profile Template</dc:title>
  <dc:creator>benbows</dc:creator>
  <cp:lastModifiedBy>Will Airey</cp:lastModifiedBy>
  <cp:revision>3</cp:revision>
  <cp:lastPrinted>2026-01-27T16:54:00Z</cp:lastPrinted>
  <dcterms:created xsi:type="dcterms:W3CDTF">2026-01-29T17:25:00Z</dcterms:created>
  <dcterms:modified xsi:type="dcterms:W3CDTF">2026-01-29T17:25:00Z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0x0101002819590B0384B34699E14FB78C47D9F4</vt:lpwstr>
  </property>
  <property fmtid="{D5CDD505-2E9C-101B-9397-08002B2CF9AE}" pid="3" name="ClassificationContentMarkingFooterShapeIds">
    <vt:lpwstr>1,3,4</vt:lpwstr>
  </property>
  <property fmtid="{D5CDD505-2E9C-101B-9397-08002B2CF9AE}" pid="4" name="ClassificationContentMarkingFooterFontProps">
    <vt:lpwstr>#ff0000,10,Calibri</vt:lpwstr>
  </property>
  <property fmtid="{D5CDD505-2E9C-101B-9397-08002B2CF9AE}" pid="5" name="ClassificationContentMarkingFooterText">
    <vt:lpwstr>Company Confidential</vt:lpwstr>
  </property>
  <property fmtid="{D5CDD505-2E9C-101B-9397-08002B2CF9AE}" pid="6" name="MSIP_Label_ef6327e6-fc0e-4760-99e5-056f7efd02ce_Enabled">
    <vt:lpwstr>true</vt:lpwstr>
  </property>
  <property fmtid="{D5CDD505-2E9C-101B-9397-08002B2CF9AE}" pid="7" name="MSIP_Label_ef6327e6-fc0e-4760-99e5-056f7efd02ce_SetDate">
    <vt:lpwstr>2023-09-04T11:13:30Z</vt:lpwstr>
  </property>
  <property fmtid="{D5CDD505-2E9C-101B-9397-08002B2CF9AE}" pid="8" name="MSIP_Label_ef6327e6-fc0e-4760-99e5-056f7efd02ce_Method">
    <vt:lpwstr>Standard</vt:lpwstr>
  </property>
  <property fmtid="{D5CDD505-2E9C-101B-9397-08002B2CF9AE}" pid="9" name="MSIP_Label_ef6327e6-fc0e-4760-99e5-056f7efd02ce_Name">
    <vt:lpwstr>Company Confidential</vt:lpwstr>
  </property>
  <property fmtid="{D5CDD505-2E9C-101B-9397-08002B2CF9AE}" pid="10" name="MSIP_Label_ef6327e6-fc0e-4760-99e5-056f7efd02ce_SiteId">
    <vt:lpwstr>f22a49a4-3b88-46d2-951c-591470e3149b</vt:lpwstr>
  </property>
  <property fmtid="{D5CDD505-2E9C-101B-9397-08002B2CF9AE}" pid="11" name="MSIP_Label_ef6327e6-fc0e-4760-99e5-056f7efd02ce_ActionId">
    <vt:lpwstr>83b089e2-05e8-4025-8f63-e00a27e08d7c</vt:lpwstr>
  </property>
  <property fmtid="{D5CDD505-2E9C-101B-9397-08002B2CF9AE}" pid="12" name="MSIP_Label_ef6327e6-fc0e-4760-99e5-056f7efd02ce_ContentBits">
    <vt:lpwstr>2</vt:lpwstr>
  </property>
</Properties>
</file>