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tbl>
      <w:tblPr>
        <w:tblW w:w="0" w:type="auto"/>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none"/>
        </w:tblBorders>
        <w:tblLayout w:type="fixed"/>
        <w:tblCellMar>
          <w:top w:w="0" w:type="dxa"/>
          <w:left w:w="108" w:type="dxa"/>
          <w:bottom w:w="0" w:type="dxa"/>
          <w:right w:w="108" w:type="dxa"/>
        </w:tblCellMar>
      </w:tblPr>
      <w:tblGrid>
        <w:gridCol w:w="11199"/>
      </w:tblGrid>
      <w:tr>
        <w:trPr>
          <w:trHeight w:val="1132" w:hRule="atLeast"/>
        </w:trPr>
        <w:tc>
          <w:tcPr>
            <w:tcW w:w="11199" w:type="dxa"/>
            <w:shd w:val="clear" w:color="auto" w:fill="001E5A"/>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after="0" w:line="240" w:lineRule="auto"/>
              <w:ind w:right="1021"/>
              <w:rPr>
                <w:b/>
                <w:bCs/>
                <w:color w:val="FFFFFF"/>
                <w:sz w:val="32"/>
                <w:szCs w:val="32"/>
                <w:lang w:val="en-GB" w:eastAsia="en-GB" w:bidi="en-GB"/>
              </w:rPr>
            </w:pPr>
            <w:r>
              <w:rPr>
                <w:b/>
                <w:bCs/>
                <w:color w:val="FFFFFF"/>
                <w:sz w:val="32"/>
                <w:szCs w:val="32"/>
                <w:lang w:val="en-GB" w:eastAsia="en-GB" w:bidi="en-GB"/>
              </w:rPr>
              <w:t xml:space="preserve">Secure Trust Bank                                                                                      </w:t>
            </w:r>
            <w:r>
              <w:rPr>
                <w:b/>
                <w:bCs/>
                <w:color w:val="FFFFFF"/>
                <w:sz w:val="32"/>
                <w:szCs w:val="32"/>
                <w:lang w:val="en-GB" w:eastAsia="en-GB" w:bidi="en-GB"/>
              </w:rPr>
              <w:drawing>
                <wp:inline distT="0" distB="0" distL="0" distR="0">
                  <wp:extent cx="1460500" cy="629285"/>
                  <wp:docPr id="1" name="Picture 3"/>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60500" cy="629285"/>
                          </a:xfrm>
                          <a:prstGeom prst="rect">
                            <a:avLst/>
                          </a:prstGeom>
                        </pic:spPr>
                      </pic:pic>
                    </a:graphicData>
                  </a:graphic>
                </wp:inline>
              </w:drawing>
            </w:r>
            <w:r>
              <w:rPr>
                <w:b/>
                <w:bCs/>
                <w:color w:val="FFFFFF"/>
                <w:sz w:val="32"/>
                <w:szCs w:val="32"/>
                <w:lang w:val="en-GB" w:eastAsia="en-GB" w:bidi="en-GB"/>
              </w:rPr>
              <w:br w:type="textWrapping"/>
            </w:r>
            <w:r>
              <w:rPr>
                <w:b/>
                <w:bCs/>
                <w:color w:val="FFFFFF"/>
                <w:sz w:val="32"/>
                <w:szCs w:val="32"/>
                <w:lang w:val="en-GB" w:eastAsia="en-GB" w:bidi="en-GB"/>
              </w:rPr>
              <w:t xml:space="preserve">IT Service Desk Analyst</w:t>
            </w:r>
          </w:p>
        </w:tc>
      </w:tr>
      <w:tr>
        <w:trPr>
          <w:trHeight w:val="616" w:hRule="atLeast"/>
        </w:trPr>
        <w:tc>
          <w:tcPr>
            <w:tcW w:w="1119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240" w:lineRule="auto"/>
              <w:rPr>
                <w:rFonts w:ascii="Arial" w:hAnsi="Arial" w:eastAsia="Arial" w:cs="Arial"/>
                <w:sz w:val="22"/>
                <w:szCs w:val="22"/>
                <w:lang w:val="en-US" w:eastAsia="en-US" w:bidi="en-US"/>
              </w:rPr>
            </w:pPr>
            <w:r>
              <w:rPr>
                <w:b/>
                <w:bCs/>
                <w:sz w:val="22"/>
                <w:szCs w:val="22"/>
                <w:lang w:val="en-GB" w:eastAsia="en-GB" w:bidi="en-GB"/>
              </w:rPr>
              <w:t xml:space="preserve">Reporting</w:t>
            </w:r>
            <w:r>
              <w:rPr>
                <w:sz w:val="22"/>
                <w:szCs w:val="22"/>
                <w:lang w:val="en-GB" w:eastAsia="en-GB" w:bidi="en-GB"/>
              </w:rPr>
              <w:t xml:space="preserve"> </w:t>
            </w:r>
            <w:r>
              <w:rPr>
                <w:b/>
                <w:bCs/>
                <w:sz w:val="22"/>
                <w:szCs w:val="22"/>
                <w:lang w:val="en-GB" w:eastAsia="en-GB" w:bidi="en-GB"/>
              </w:rPr>
              <w:t xml:space="preserve">To</w:t>
            </w:r>
            <w:r>
              <w:rPr>
                <w:sz w:val="22"/>
                <w:szCs w:val="22"/>
                <w:lang w:val="en-GB" w:eastAsia="en-GB" w:bidi="en-GB"/>
              </w:rPr>
              <w:t xml:space="preserve">: IT Service Desk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rPr>
                <w:sz w:val="22"/>
                <w:szCs w:val="22"/>
                <w:lang w:val="en-GB" w:eastAsia="en-GB" w:bidi="en-GB"/>
              </w:rPr>
            </w:pPr>
            <w:r>
              <w:rPr>
                <w:b/>
                <w:bCs/>
                <w:sz w:val="22"/>
                <w:szCs w:val="22"/>
                <w:lang w:val="en-GB" w:eastAsia="en-GB" w:bidi="en-GB"/>
              </w:rPr>
              <w:t xml:space="preserve">Location</w:t>
            </w:r>
            <w:r>
              <w:rPr>
                <w:sz w:val="22"/>
                <w:szCs w:val="22"/>
                <w:lang w:val="en-GB" w:eastAsia="en-GB" w:bidi="en-GB"/>
              </w:rPr>
              <w:t xml:space="preserve">: Cardiff Office  </w:t>
            </w:r>
          </w:p>
        </w:tc>
      </w:tr>
      <w:tr>
        <w:trPr>
          <w:trHeight w:val="1344" w:hRule="atLeast"/>
        </w:trPr>
        <w:tc>
          <w:tcPr>
            <w:tcW w:w="11199" w:type="dxa"/>
            <w:tcBorders>
              <w:bottom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22"/>
                <w:szCs w:val="22"/>
                <w:lang w:val="en-US" w:eastAsia="en-US" w:bidi="en-US"/>
              </w:rPr>
            </w:pPr>
            <w:r>
              <w:rPr>
                <w:sz w:val="22"/>
                <w:szCs w:val="22"/>
                <w:lang w:val="en-US" w:eastAsia="en-US" w:bidi="en-US"/>
              </w:rPr>
              <w:t xml:space="preserve">Secure Trust Bank is a well-established UK Bank, having been incorporated in 1954. It has an exemplary reputation for providing banking services including a range of lending solutions and savings products. The Group acquired the V12 Finance Group and the trade and certain assets of Debt Managers Holdings Ltd in January 2013, which is held in its subsidiary Debt Managers (Services) Ltd. The bank operates from its head office in Solihull, West Midlands and currently has approximately 900 employees across the UK.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rPr>
                <w:sz w:val="22"/>
                <w:szCs w:val="22"/>
                <w:lang w:val="en-GB" w:eastAsia="en-GB" w:bidi="en-GB"/>
              </w:rPr>
            </w:pPr>
            <w:r>
              <w:rPr>
                <w:sz w:val="22"/>
                <w:szCs w:val="22"/>
                <w:lang w:val="en-US" w:eastAsia="en-US" w:bidi="en-US"/>
              </w:rPr>
              <w:t xml:space="preserve">Our customers are at the heart of everything we do, but we can’t achieve our customer focused strategy without the right people in our team. At Secure Trust Bank, we know that people are our biggest investment, which is why a career with us is not just a job. It’s the chance to be part of something bigger, to add real value to the Bank and help us constantly improve, in order to achieve our ambition of becoming the best bank in Britain. We believe in giving our staff autonomy, with initiative and exceptional performance recognised through a variety of individual and team awards and incentives. All our employees have a tangible impact on the Group’s core values, and we are looking for candidates who are enthusiastic, proactive and enjoy working in a fast-paced environment. So, join us as we strive to Grow, Sustain and Care for the way we work.</w:t>
            </w:r>
          </w:p>
        </w:tc>
      </w:tr>
    </w:tbl>
    <w:tbl>
      <w:tblPr>
        <w:tblW w:w="0" w:type="auto"/>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386"/>
        <w:gridCol w:w="9813"/>
      </w:tblGrid>
      <w:tr>
        <w:trPr>
          <w:trHeight w:val="1344" w:hRule="atLeast"/>
        </w:trPr>
        <w:tc>
          <w:tcPr>
            <w:tcW w:w="1386" w:type="dxa"/>
            <w:tcBorders>
              <w:top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2"/>
                <w:szCs w:val="22"/>
                <w:lang w:val="en-GB" w:eastAsia="en-GB" w:bidi="en-GB"/>
              </w:rPr>
            </w:pPr>
            <w:r>
              <w:rPr>
                <w:b/>
                <w:bCs/>
                <w:sz w:val="22"/>
                <w:szCs w:val="22"/>
                <w:lang w:val="en-GB" w:eastAsia="en-GB" w:bidi="en-GB"/>
              </w:rPr>
              <w:t xml:space="preserve">Job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2"/>
                <w:szCs w:val="22"/>
                <w:lang w:val="en-GB" w:eastAsia="en-GB" w:bidi="en-GB"/>
              </w:rPr>
            </w:pPr>
          </w:p>
        </w:tc>
        <w:tc>
          <w:tcPr>
            <w:tcW w:w="9813" w:type="dxa"/>
            <w:tcBorders>
              <w:top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i/>
                <w:i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i/>
                <w:iCs/>
                <w:sz w:val="22"/>
                <w:szCs w:val="22"/>
                <w:lang w:val="en-GB" w:eastAsia="en-GB" w:bidi="en-GB"/>
              </w:rPr>
            </w:pPr>
            <w:r>
              <w:rPr>
                <w:b/>
                <w:bCs/>
                <w:i/>
                <w:iCs/>
                <w:sz w:val="22"/>
                <w:szCs w:val="22"/>
                <w:lang w:val="en-GB" w:eastAsia="en-GB" w:bidi="en-GB"/>
              </w:rPr>
              <w:t xml:space="preserve">Job Purpose</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US" w:eastAsia="en-US" w:bidi="en-US"/>
              </w:rPr>
            </w:pPr>
            <w:r>
              <w:rPr>
                <w:sz w:val="22"/>
                <w:szCs w:val="22"/>
                <w:lang w:val="en-US" w:eastAsia="en-US" w:bidi="en-US"/>
              </w:rPr>
              <w:t xml:space="preserve">Working within the IT Service Desk team and reporting to the </w:t>
            </w:r>
            <w:r>
              <w:rPr>
                <w:sz w:val="22"/>
                <w:szCs w:val="22"/>
                <w:lang w:val="en-GB" w:eastAsia="en-GB" w:bidi="en-GB"/>
              </w:rPr>
              <w:t xml:space="preserve">IT Service Desk Manager</w:t>
            </w:r>
            <w:r>
              <w:rPr>
                <w:sz w:val="22"/>
                <w:szCs w:val="22"/>
                <w:lang w:val="en-US" w:eastAsia="en-US" w:bidi="en-US"/>
              </w:rPr>
              <w:t xml:space="preserve">, you will be responsible for supporting the business operation by providing technical support, fulfilling IT requests and working on technical and business projects.  As well as this you will also be responsible for incident management of high priority calls and the management of the End User Computing estate.  As part of our continual improvement approach you will also be expected to identify and raise opportunities to reduce error, increase efficiency and reduce costs.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i/>
                <w:iCs/>
                <w:sz w:val="22"/>
                <w:szCs w:val="22"/>
                <w:lang w:val="en-GB" w:eastAsia="en-GB" w:bidi="en-GB"/>
              </w:rPr>
            </w:pPr>
            <w:r>
              <w:rPr>
                <w:b/>
                <w:bCs/>
                <w:i/>
                <w:iCs/>
                <w:sz w:val="22"/>
                <w:szCs w:val="22"/>
                <w:lang w:val="en-GB" w:eastAsia="en-GB" w:bidi="en-GB"/>
              </w:rPr>
              <w:t xml:space="preserve">Key Responsibilities</w:t>
            </w:r>
          </w:p>
          <w:p>
            <w:pPr>
              <w:pStyle w:val="Normal"/>
              <w:numPr>
                <w:ilvl w:val="0"/>
                <w:numId w:val="2"/>
              </w:num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120" w:line="240" w:lineRule="auto"/>
              <w:ind w:left="360" w:hanging="180"/>
              <w:rPr>
                <w:sz w:val="22"/>
                <w:szCs w:val="22"/>
              </w:rPr>
            </w:pPr>
            <w:r>
              <w:rPr>
                <w:sz w:val="22"/>
                <w:szCs w:val="22"/>
              </w:rPr>
              <w:t xml:space="preserve">Ensure that </w:t>
            </w:r>
            <w:r>
              <w:rPr>
                <w:sz w:val="22"/>
                <w:szCs w:val="22"/>
                <w:lang w:val="en-GB" w:eastAsia="en-GB" w:bidi="en-GB"/>
              </w:rPr>
              <w:t xml:space="preserve">IT </w:t>
            </w:r>
            <w:r>
              <w:rPr>
                <w:sz w:val="22"/>
                <w:szCs w:val="22"/>
              </w:rPr>
              <w:t xml:space="preserve">Support and request calls are correctly prioritised and </w:t>
            </w:r>
            <w:r>
              <w:rPr>
                <w:sz w:val="22"/>
                <w:szCs w:val="22"/>
                <w:lang w:val="en-GB" w:eastAsia="en-GB" w:bidi="en-GB"/>
              </w:rPr>
              <w:t xml:space="preserve">resolved </w:t>
            </w:r>
            <w:r>
              <w:rPr>
                <w:sz w:val="22"/>
                <w:szCs w:val="22"/>
              </w:rPr>
              <w:t xml:space="preserve">in </w:t>
            </w:r>
            <w:r>
              <w:rPr>
                <w:sz w:val="22"/>
                <w:szCs w:val="22"/>
                <w:lang w:val="en-GB" w:eastAsia="en-GB" w:bidi="en-GB"/>
              </w:rPr>
              <w:t xml:space="preserve">line with agreed SLA’s</w:t>
            </w:r>
          </w:p>
          <w:p>
            <w:pPr>
              <w:pStyle w:val="Normal"/>
              <w:numPr>
                <w:ilvl w:val="0"/>
                <w:numId w:val="2"/>
              </w:num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120" w:line="240" w:lineRule="auto"/>
              <w:ind w:left="360" w:hanging="180"/>
              <w:rPr>
                <w:sz w:val="22"/>
                <w:szCs w:val="22"/>
              </w:rPr>
            </w:pPr>
            <w:r>
              <w:rPr>
                <w:sz w:val="22"/>
                <w:szCs w:val="22"/>
              </w:rPr>
              <w:t xml:space="preserve">Logging Calls and actions</w:t>
            </w:r>
            <w:r>
              <w:rPr>
                <w:sz w:val="22"/>
                <w:szCs w:val="22"/>
                <w:lang w:val="en-GB" w:eastAsia="en-GB" w:bidi="en-GB"/>
              </w:rPr>
              <w:t xml:space="preserve"> to agreed standards</w:t>
            </w:r>
          </w:p>
          <w:p>
            <w:pPr>
              <w:pStyle w:val="Normal"/>
              <w:numPr>
                <w:ilvl w:val="0"/>
                <w:numId w:val="2"/>
              </w:num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120" w:line="240" w:lineRule="auto"/>
              <w:ind w:left="360" w:hanging="180"/>
              <w:rPr>
                <w:sz w:val="22"/>
                <w:szCs w:val="22"/>
              </w:rPr>
            </w:pPr>
            <w:r>
              <w:rPr>
                <w:sz w:val="22"/>
                <w:szCs w:val="22"/>
              </w:rPr>
              <w:t xml:space="preserve">Ensuring IT Security Policies and procedures are adhered to </w:t>
            </w:r>
            <w:r>
              <w:rPr>
                <w:sz w:val="22"/>
                <w:szCs w:val="22"/>
                <w:lang w:val="en-GB" w:eastAsia="en-GB" w:bidi="en-GB"/>
              </w:rPr>
              <w:t xml:space="preserve">and </w:t>
            </w:r>
            <w:r>
              <w:rPr>
                <w:sz w:val="22"/>
                <w:szCs w:val="22"/>
              </w:rPr>
              <w:t xml:space="preserve">bringing breaches to Management when required</w:t>
            </w:r>
            <w:r>
              <w:rPr>
                <w:sz w:val="22"/>
                <w:szCs w:val="22"/>
                <w:lang w:val="en-GB" w:eastAsia="en-GB" w:bidi="en-GB"/>
              </w:rPr>
              <w:t xml:space="preserve">..</w:t>
            </w:r>
          </w:p>
          <w:p>
            <w:pPr>
              <w:pStyle w:val="Normal + After:  6 pt"/>
              <w:numPr>
                <w:ilvl w:val="0"/>
                <w:numId w:val="2"/>
              </w:numPr>
              <w:tabs>
                <w:tab w:val="left" w:pos="360"/>
                <w:tab w:val="clear"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120"/>
              <w:ind w:left="360" w:hanging="18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Adherence to change control procedures. </w:t>
            </w:r>
          </w:p>
          <w:p>
            <w:pPr>
              <w:pStyle w:val="Normal + After:  6 pt"/>
              <w:numPr>
                <w:ilvl w:val="0"/>
                <w:numId w:val="2"/>
              </w:numPr>
              <w:tabs>
                <w:tab w:val="left" w:pos="360"/>
                <w:tab w:val="clear"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120"/>
              <w:ind w:left="360" w:hanging="18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Liaising with 3</w:t>
            </w:r>
            <w:r>
              <w:rPr>
                <w:rFonts w:ascii="Calibri" w:hAnsi="Calibri" w:eastAsia="Calibri" w:cs="Calibri"/>
                <w:sz w:val="22"/>
                <w:szCs w:val="22"/>
                <w:vertAlign w:val="superscript"/>
                <w:lang w:val="en-GB" w:eastAsia="en-GB" w:bidi="en-GB"/>
              </w:rPr>
              <w:t xml:space="preserve">rd</w:t>
            </w:r>
            <w:r>
              <w:rPr>
                <w:rFonts w:ascii="Calibri" w:hAnsi="Calibri" w:eastAsia="Calibri" w:cs="Calibri"/>
                <w:sz w:val="22"/>
                <w:szCs w:val="22"/>
                <w:lang w:val="en-GB" w:eastAsia="en-GB" w:bidi="en-GB"/>
              </w:rPr>
              <w:t xml:space="preserve"> parties.</w:t>
            </w:r>
          </w:p>
          <w:p>
            <w:pPr>
              <w:pStyle w:val="Normal + After:  6 pt"/>
              <w:numPr>
                <w:ilvl w:val="0"/>
                <w:numId w:val="2"/>
              </w:numPr>
              <w:tabs>
                <w:tab w:val="left" w:pos="360"/>
                <w:tab w:val="clear"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120"/>
              <w:ind w:left="360" w:hanging="18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Lifecycle management of End User Compute devices to include ordering, build, management, upgrades and disposal.</w:t>
            </w:r>
          </w:p>
          <w:p>
            <w:pPr>
              <w:pStyle w:val="Normal + After:  6 pt"/>
              <w:numPr>
                <w:ilvl w:val="0"/>
                <w:numId w:val="2"/>
              </w:numPr>
              <w:tabs>
                <w:tab w:val="left" w:pos="360"/>
                <w:tab w:val="clear"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120"/>
              <w:ind w:left="360" w:hanging="18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Ensuring sufficient cover for the service desk during supported hours </w:t>
            </w:r>
          </w:p>
          <w:p>
            <w:pPr>
              <w:pStyle w:val="Normal + After:  6 pt"/>
              <w:numPr>
                <w:ilvl w:val="0"/>
                <w:numId w:val="2"/>
              </w:numPr>
              <w:tabs>
                <w:tab w:val="left" w:pos="360"/>
                <w:tab w:val="clear"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120"/>
              <w:ind w:left="360" w:hanging="18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Involvement in projects / requests.</w:t>
            </w:r>
          </w:p>
          <w:p>
            <w:pPr>
              <w:pStyle w:val="Normal + After:  6 pt"/>
              <w:numPr>
                <w:ilvl w:val="0"/>
                <w:numId w:val="2"/>
              </w:numPr>
              <w:tabs>
                <w:tab w:val="left" w:pos="360"/>
                <w:tab w:val="clear"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120"/>
              <w:ind w:left="360" w:hanging="18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Remote support visits to STBG sites </w:t>
            </w:r>
          </w:p>
          <w:p>
            <w:pPr>
              <w:pStyle w:val="Normal + After:  6 pt"/>
              <w:numPr>
                <w:ilvl w:val="0"/>
                <w:numId w:val="2"/>
              </w:numPr>
              <w:tabs>
                <w:tab w:val="left" w:pos="360"/>
                <w:tab w:val="clear"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120"/>
              <w:ind w:left="360" w:hanging="18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Monitoring infrastructure status and performance.</w:t>
            </w:r>
          </w:p>
          <w:p>
            <w:pPr>
              <w:pStyle w:val="Normal + After:  6 pt"/>
              <w:numPr>
                <w:ilvl w:val="0"/>
                <w:numId w:val="2"/>
              </w:numPr>
              <w:tabs>
                <w:tab w:val="left" w:pos="360"/>
                <w:tab w:val="clear"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120"/>
              <w:ind w:left="360" w:hanging="18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Documentation of IT Systems, processes and procedures</w:t>
            </w:r>
          </w:p>
          <w:p>
            <w:pPr>
              <w:pStyle w:val="Normal + After:  6 pt"/>
              <w:numPr>
                <w:ilvl w:val="0"/>
                <w:numId w:val="2"/>
              </w:numPr>
              <w:tabs>
                <w:tab w:val="left" w:pos="360"/>
                <w:tab w:val="clear"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120"/>
              <w:ind w:left="360" w:hanging="18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Keeping up to date with current technologies </w:t>
            </w:r>
          </w:p>
          <w:p>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i/>
                <w:iCs/>
                <w:sz w:val="22"/>
                <w:szCs w:val="22"/>
                <w:lang w:val="en-GB" w:eastAsia="en-GB" w:bidi="en-GB"/>
              </w:rPr>
            </w:pPr>
            <w:r>
              <w:rPr>
                <w:b/>
                <w:bCs/>
                <w:i/>
                <w:iCs/>
                <w:sz w:val="22"/>
                <w:szCs w:val="22"/>
                <w:lang w:val="en-GB" w:eastAsia="en-GB" w:bidi="en-GB"/>
              </w:rPr>
              <w:t xml:space="preserve">Key Interfaces</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2"/>
                <w:szCs w:val="22"/>
                <w:lang w:val="en-GB" w:eastAsia="en-GB" w:bidi="en-GB"/>
              </w:rPr>
            </w:pPr>
            <w:r>
              <w:rPr>
                <w:sz w:val="22"/>
                <w:szCs w:val="22"/>
                <w:lang w:val="en-GB" w:eastAsia="en-GB" w:bidi="en-GB"/>
              </w:rPr>
              <w:t xml:space="preserve">IT Infrastructure Team</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2"/>
                <w:szCs w:val="22"/>
                <w:lang w:val="en-GB" w:eastAsia="en-GB" w:bidi="en-GB"/>
              </w:rPr>
            </w:pPr>
            <w:r>
              <w:rPr>
                <w:sz w:val="22"/>
                <w:szCs w:val="22"/>
                <w:lang w:val="en-GB" w:eastAsia="en-GB" w:bidi="en-GB"/>
              </w:rPr>
              <w:t xml:space="preserve">IT Security Team</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2"/>
                <w:szCs w:val="22"/>
                <w:lang w:val="en-GB" w:eastAsia="en-GB" w:bidi="en-GB"/>
              </w:rPr>
            </w:pPr>
            <w:r>
              <w:rPr>
                <w:sz w:val="22"/>
                <w:szCs w:val="22"/>
                <w:lang w:val="en-GB" w:eastAsia="en-GB" w:bidi="en-GB"/>
              </w:rPr>
              <w:t xml:space="preserve">Application Support Teams</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2"/>
                <w:szCs w:val="22"/>
                <w:lang w:val="en-GB" w:eastAsia="en-GB" w:bidi="en-GB"/>
              </w:rPr>
            </w:pPr>
            <w:r>
              <w:rPr>
                <w:sz w:val="22"/>
                <w:szCs w:val="22"/>
                <w:lang w:val="en-GB" w:eastAsia="en-GB" w:bidi="en-GB"/>
              </w:rPr>
              <w:t xml:space="preserve">BI Teams</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2"/>
                <w:szCs w:val="22"/>
                <w:lang w:val="en-GB" w:eastAsia="en-GB" w:bidi="en-GB"/>
              </w:rPr>
            </w:pPr>
            <w:r>
              <w:rPr>
                <w:sz w:val="22"/>
                <w:szCs w:val="22"/>
                <w:lang w:val="en-GB" w:eastAsia="en-GB" w:bidi="en-GB"/>
              </w:rPr>
              <w:t xml:space="preserve">3</w:t>
            </w:r>
            <w:r>
              <w:rPr>
                <w:position w:val="6"/>
                <w:sz w:val="22"/>
                <w:szCs w:val="22"/>
                <w:lang w:val="en-GB" w:eastAsia="en-GB" w:bidi="en-GB"/>
              </w:rPr>
              <w:t xml:space="preserve">rd</w:t>
            </w:r>
            <w:r>
              <w:rPr>
                <w:sz w:val="22"/>
                <w:szCs w:val="22"/>
                <w:lang w:val="en-GB" w:eastAsia="en-GB" w:bidi="en-GB"/>
              </w:rPr>
              <w:t xml:space="preserve"> party suppliers </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2"/>
                <w:szCs w:val="22"/>
                <w:lang w:val="en-GB" w:eastAsia="en-GB" w:bidi="en-GB"/>
              </w:rPr>
            </w:pPr>
            <w:r>
              <w:rPr>
                <w:sz w:val="22"/>
                <w:szCs w:val="22"/>
                <w:lang w:val="en-GB" w:eastAsia="en-GB" w:bidi="en-GB"/>
              </w:rPr>
              <w:t xml:space="preserve">All STB IT Users</w:t>
            </w: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lang w:val="en-GB" w:eastAsia="en-GB" w:bidi="en-GB"/>
              </w:rPr>
            </w:pPr>
          </w:p>
        </w:tc>
      </w:tr>
      <w:tr>
        <w:trPr>
          <w:trHeight w:val="1344" w:hRule="atLeast"/>
        </w:trPr>
        <w:tc>
          <w:tcPr>
            <w:tcW w:w="138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2"/>
                <w:szCs w:val="22"/>
                <w:lang w:val="en-GB" w:eastAsia="en-GB" w:bidi="en-GB"/>
              </w:rPr>
            </w:pPr>
            <w:r>
              <w:rPr>
                <w:b/>
                <w:bCs/>
                <w:sz w:val="22"/>
                <w:szCs w:val="22"/>
                <w:lang w:val="en-GB" w:eastAsia="en-GB" w:bidi="en-GB"/>
              </w:rPr>
              <w:t xml:space="preserve">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2"/>
                <w:szCs w:val="22"/>
                <w:lang w:val="en-GB" w:eastAsia="en-GB" w:bidi="en-GB"/>
              </w:rPr>
            </w:pPr>
          </w:p>
        </w:tc>
        <w:tc>
          <w:tcPr>
            <w:tcW w:w="981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i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i/>
                <w:iCs/>
                <w:sz w:val="22"/>
                <w:szCs w:val="22"/>
                <w:lang w:val="en-GB" w:eastAsia="en-GB" w:bidi="en-GB"/>
              </w:rPr>
            </w:pPr>
            <w:r>
              <w:rPr>
                <w:b/>
                <w:bCs/>
                <w:i/>
                <w:iCs/>
                <w:sz w:val="22"/>
                <w:szCs w:val="22"/>
                <w:lang w:val="en-GB" w:eastAsia="en-GB" w:bidi="en-GB"/>
              </w:rPr>
              <w:t xml:space="preserve">Knowledge / Experience / Qualifications</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sz w:val="22"/>
                <w:szCs w:val="22"/>
                <w:lang w:val="en-GB" w:eastAsia="en-GB" w:bidi="en-GB"/>
              </w:rPr>
            </w:pPr>
            <w:r>
              <w:rPr>
                <w:sz w:val="22"/>
                <w:szCs w:val="22"/>
                <w:lang w:val="en-GB" w:eastAsia="en-GB" w:bidi="en-GB"/>
              </w:rPr>
              <w:t xml:space="preserve">Min 1 year IT Support experience or equivalent</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sz w:val="22"/>
                <w:szCs w:val="22"/>
                <w:lang w:val="en-GB" w:eastAsia="en-GB" w:bidi="en-GB"/>
              </w:rPr>
            </w:pPr>
            <w:r>
              <w:rPr>
                <w:sz w:val="22"/>
                <w:szCs w:val="22"/>
                <w:lang w:val="en-GB" w:eastAsia="en-GB" w:bidi="en-GB"/>
              </w:rPr>
              <w:t xml:space="preserve">Experience and a minimum foundation knowledge of –</w:t>
            </w:r>
          </w:p>
          <w:p>
            <w:pPr>
              <w:pStyle w:val="ListParagraph"/>
              <w:numPr>
                <w:ilvl w:val="0"/>
                <w:numId w:val="5"/>
              </w:numPr>
              <w:tabs>
                <w:tab w:val="left" w:pos="149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1494" w:hanging="360"/>
              <w:rPr>
                <w:sz w:val="22"/>
                <w:szCs w:val="22"/>
                <w:lang w:val="en-GB" w:eastAsia="en-GB" w:bidi="en-GB"/>
              </w:rPr>
            </w:pPr>
            <w:r>
              <w:rPr>
                <w:sz w:val="22"/>
                <w:szCs w:val="22"/>
                <w:lang w:val="en-GB" w:eastAsia="en-GB" w:bidi="en-GB"/>
              </w:rPr>
              <w:t xml:space="preserve">MS Windows &amp; 365 Suite</w:t>
            </w:r>
          </w:p>
          <w:p>
            <w:pPr>
              <w:pStyle w:val="ListParagraph"/>
              <w:numPr>
                <w:ilvl w:val="0"/>
                <w:numId w:val="5"/>
              </w:numPr>
              <w:tabs>
                <w:tab w:val="left" w:pos="149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1494" w:hanging="360"/>
              <w:rPr>
                <w:sz w:val="22"/>
                <w:szCs w:val="22"/>
                <w:lang w:val="en-GB" w:eastAsia="en-GB" w:bidi="en-GB"/>
              </w:rPr>
            </w:pPr>
            <w:r>
              <w:rPr>
                <w:sz w:val="22"/>
                <w:szCs w:val="22"/>
                <w:lang w:val="en-GB" w:eastAsia="en-GB" w:bidi="en-GB"/>
              </w:rPr>
              <w:t xml:space="preserve">Windows Server 2016/2019/2022</w:t>
            </w:r>
          </w:p>
          <w:p>
            <w:pPr>
              <w:pStyle w:val="ListParagraph"/>
              <w:numPr>
                <w:ilvl w:val="0"/>
                <w:numId w:val="5"/>
              </w:numPr>
              <w:tabs>
                <w:tab w:val="left" w:pos="149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1494" w:hanging="360"/>
              <w:rPr>
                <w:sz w:val="22"/>
                <w:szCs w:val="22"/>
                <w:lang w:val="en-GB" w:eastAsia="en-GB" w:bidi="en-GB"/>
              </w:rPr>
            </w:pPr>
            <w:r>
              <w:rPr>
                <w:sz w:val="22"/>
                <w:szCs w:val="22"/>
                <w:lang w:val="en-GB" w:eastAsia="en-GB" w:bidi="en-GB"/>
              </w:rPr>
              <w:t xml:space="preserve">Windows 10 &amp; 11</w:t>
            </w:r>
          </w:p>
          <w:p>
            <w:pPr>
              <w:pStyle w:val="ListParagraph"/>
              <w:numPr>
                <w:ilvl w:val="0"/>
                <w:numId w:val="5"/>
              </w:numPr>
              <w:tabs>
                <w:tab w:val="left" w:pos="149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1494" w:hanging="360"/>
              <w:rPr>
                <w:sz w:val="22"/>
                <w:szCs w:val="22"/>
                <w:lang w:val="en-GB" w:eastAsia="en-GB" w:bidi="en-GB"/>
              </w:rPr>
            </w:pPr>
            <w:r>
              <w:rPr>
                <w:sz w:val="22"/>
                <w:szCs w:val="22"/>
                <w:lang w:val="en-GB" w:eastAsia="en-GB" w:bidi="en-GB"/>
              </w:rPr>
              <w:t xml:space="preserve">Networking to include TCP/IP, routing, DNS, DHCP etc</w:t>
            </w:r>
          </w:p>
          <w:p>
            <w:pPr>
              <w:pStyle w:val="ListParagraph"/>
              <w:numPr>
                <w:ilvl w:val="0"/>
                <w:numId w:val="5"/>
              </w:numPr>
              <w:tabs>
                <w:tab w:val="left" w:pos="149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1494" w:hanging="360"/>
              <w:rPr>
                <w:sz w:val="22"/>
                <w:szCs w:val="22"/>
                <w:lang w:val="en-GB" w:eastAsia="en-GB" w:bidi="en-GB"/>
              </w:rPr>
            </w:pPr>
            <w:r>
              <w:rPr>
                <w:sz w:val="22"/>
                <w:szCs w:val="22"/>
                <w:lang w:val="en-GB" w:eastAsia="en-GB" w:bidi="en-GB"/>
              </w:rPr>
              <w:t xml:space="preserve">Apple iOS devices</w:t>
            </w:r>
          </w:p>
          <w:p>
            <w:pPr>
              <w:pStyle w:val="ListParagraph"/>
              <w:numPr>
                <w:ilvl w:val="0"/>
                <w:numId w:val="5"/>
              </w:numPr>
              <w:tabs>
                <w:tab w:val="left" w:pos="149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1494" w:hanging="360"/>
              <w:rPr>
                <w:sz w:val="22"/>
                <w:szCs w:val="22"/>
                <w:lang w:val="en-GB" w:eastAsia="en-GB" w:bidi="en-GB"/>
              </w:rPr>
            </w:pPr>
            <w:r>
              <w:rPr>
                <w:sz w:val="22"/>
                <w:szCs w:val="22"/>
                <w:lang w:val="en-GB" w:eastAsia="en-GB" w:bidi="en-GB"/>
              </w:rPr>
              <w:t xml:space="preserve">Microsoft Intune</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sz w:val="22"/>
                <w:szCs w:val="22"/>
                <w:lang w:val="en-GB" w:eastAsia="en-GB" w:bidi="en-GB"/>
              </w:rPr>
            </w:pPr>
            <w:r>
              <w:rPr>
                <w:sz w:val="22"/>
                <w:szCs w:val="22"/>
                <w:lang w:val="en-GB" w:eastAsia="en-GB" w:bidi="en-GB"/>
              </w:rPr>
              <w:t xml:space="preserve">Sound knowledge of computer hardware</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sz w:val="22"/>
                <w:szCs w:val="22"/>
                <w:lang w:val="en-GB" w:eastAsia="en-GB" w:bidi="en-GB"/>
              </w:rPr>
            </w:pPr>
            <w:r>
              <w:rPr>
                <w:sz w:val="22"/>
                <w:szCs w:val="22"/>
                <w:lang w:val="en-GB" w:eastAsia="en-GB" w:bidi="en-GB"/>
              </w:rPr>
              <w:t xml:space="preserve">Previous experience of supporting IT systems in a financial environment would be beneficial but not essential.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sz w:val="22"/>
                <w:szCs w:val="22"/>
                <w:lang w:val="en-GB" w:eastAsia="en-GB" w:bidi="en-GB"/>
              </w:rPr>
            </w:pPr>
            <w:r>
              <w:rPr>
                <w:sz w:val="22"/>
                <w:szCs w:val="22"/>
                <w:lang w:val="en-GB" w:eastAsia="en-GB" w:bidi="en-GB"/>
              </w:rPr>
              <w:t xml:space="preserve">Quality conscious and methodical approach to work, with strong attention to detail</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sz w:val="22"/>
                <w:szCs w:val="22"/>
                <w:lang w:val="en-GB" w:eastAsia="en-GB" w:bidi="en-GB"/>
              </w:rPr>
            </w:pPr>
            <w:r>
              <w:rPr>
                <w:sz w:val="22"/>
                <w:szCs w:val="22"/>
                <w:lang w:val="en-GB" w:eastAsia="en-GB" w:bidi="en-GB"/>
              </w:rPr>
              <w:t xml:space="preserve">Previous experience of contributing to IT strategy would be beneficial but not essential.</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sz w:val="22"/>
                <w:szCs w:val="22"/>
                <w:lang w:val="en-GB" w:eastAsia="en-GB" w:bidi="en-GB"/>
              </w:rPr>
            </w:pPr>
            <w:r>
              <w:rPr>
                <w:sz w:val="22"/>
                <w:szCs w:val="22"/>
                <w:lang w:val="en-GB" w:eastAsia="en-GB" w:bidi="en-GB"/>
              </w:rPr>
              <w:t xml:space="preserve">ITIL Foundation ideal but training will be provided</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sz w:val="22"/>
                <w:szCs w:val="22"/>
                <w:lang w:val="en-GB" w:eastAsia="en-GB" w:bidi="en-GB"/>
              </w:rPr>
            </w:pPr>
            <w:r>
              <w:rPr>
                <w:sz w:val="22"/>
                <w:szCs w:val="22"/>
                <w:lang w:val="en-GB" w:eastAsia="en-GB" w:bidi="en-GB"/>
              </w:rPr>
              <w:t xml:space="preserve">Full UK driving licence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i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i/>
                <w:iCs/>
                <w:sz w:val="22"/>
                <w:szCs w:val="22"/>
                <w:lang w:val="en-GB" w:eastAsia="en-GB" w:bidi="en-GB"/>
              </w:rPr>
            </w:pPr>
            <w:r>
              <w:rPr>
                <w:b/>
                <w:bCs/>
                <w:i/>
                <w:iCs/>
                <w:sz w:val="22"/>
                <w:szCs w:val="22"/>
                <w:lang w:val="en-GB" w:eastAsia="en-GB" w:bidi="en-GB"/>
              </w:rPr>
              <w:t xml:space="preserve">Competencies</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sz w:val="22"/>
                <w:szCs w:val="22"/>
                <w:lang w:val="en-GB" w:eastAsia="en-GB" w:bidi="en-GB"/>
              </w:rPr>
            </w:pPr>
            <w:r>
              <w:rPr>
                <w:sz w:val="22"/>
                <w:szCs w:val="22"/>
                <w:lang w:val="en-GB" w:eastAsia="en-GB" w:bidi="en-GB"/>
              </w:rPr>
              <w:t xml:space="preserve">Execution and delivery focused</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sz w:val="22"/>
                <w:szCs w:val="22"/>
                <w:lang w:val="en-GB" w:eastAsia="en-GB" w:bidi="en-GB"/>
              </w:rPr>
            </w:pPr>
            <w:r>
              <w:rPr>
                <w:sz w:val="22"/>
                <w:szCs w:val="22"/>
                <w:lang w:val="en-GB" w:eastAsia="en-GB" w:bidi="en-GB"/>
              </w:rPr>
              <w:t xml:space="preserve">Problem Solving / Logical Mind</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sz w:val="22"/>
                <w:szCs w:val="22"/>
                <w:lang w:val="en-GB" w:eastAsia="en-GB" w:bidi="en-GB"/>
              </w:rPr>
            </w:pPr>
            <w:r>
              <w:rPr>
                <w:sz w:val="22"/>
                <w:szCs w:val="22"/>
                <w:lang w:val="en-GB" w:eastAsia="en-GB" w:bidi="en-GB"/>
              </w:rPr>
              <w:t xml:space="preserve">Strong communicator and confidence</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sz w:val="22"/>
                <w:szCs w:val="22"/>
                <w:lang w:val="en-GB" w:eastAsia="en-GB" w:bidi="en-GB"/>
              </w:rPr>
            </w:pPr>
            <w:r>
              <w:rPr>
                <w:sz w:val="22"/>
                <w:szCs w:val="22"/>
                <w:lang w:val="en-GB" w:eastAsia="en-GB" w:bidi="en-GB"/>
              </w:rPr>
              <w:t xml:space="preserve">Team working</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sz w:val="22"/>
                <w:szCs w:val="22"/>
                <w:lang w:val="en-GB" w:eastAsia="en-GB" w:bidi="en-GB"/>
              </w:rPr>
            </w:pPr>
            <w:r>
              <w:rPr>
                <w:sz w:val="22"/>
                <w:szCs w:val="22"/>
                <w:lang w:val="en-GB" w:eastAsia="en-GB" w:bidi="en-GB"/>
              </w:rPr>
              <w:t xml:space="preserve">Working proactively</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sz w:val="22"/>
                <w:szCs w:val="22"/>
                <w:lang w:val="en-GB" w:eastAsia="en-GB" w:bidi="en-GB"/>
              </w:rPr>
            </w:pPr>
            <w:r>
              <w:rPr>
                <w:sz w:val="22"/>
                <w:szCs w:val="22"/>
                <w:lang w:val="en-GB" w:eastAsia="en-GB" w:bidi="en-GB"/>
              </w:rPr>
              <w:t xml:space="preserve">Influencing others</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sz w:val="22"/>
                <w:szCs w:val="22"/>
                <w:lang w:val="en-GB" w:eastAsia="en-GB" w:bidi="en-GB"/>
              </w:rPr>
            </w:pPr>
            <w:r>
              <w:rPr>
                <w:sz w:val="22"/>
                <w:szCs w:val="22"/>
                <w:lang w:val="en-GB" w:eastAsia="en-GB" w:bidi="en-GB"/>
              </w:rPr>
              <w:t xml:space="preserve">Customer focus</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sz w:val="22"/>
                <w:szCs w:val="22"/>
                <w:lang w:val="en-GB" w:eastAsia="en-GB" w:bidi="en-GB"/>
              </w:rPr>
            </w:pPr>
            <w:r>
              <w:rPr>
                <w:sz w:val="22"/>
                <w:szCs w:val="22"/>
                <w:lang w:val="en-GB" w:eastAsia="en-GB" w:bidi="en-GB"/>
              </w:rPr>
              <w:t xml:space="preserve">Patience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sz w:val="22"/>
                <w:szCs w:val="22"/>
                <w:lang w:val="en-GB" w:eastAsia="en-GB" w:bidi="en-GB"/>
              </w:rPr>
            </w:pPr>
            <w:r>
              <w:rPr>
                <w:sz w:val="22"/>
                <w:szCs w:val="22"/>
                <w:lang w:val="en-GB" w:eastAsia="en-GB" w:bidi="en-GB"/>
              </w:rPr>
              <w:t xml:space="preserve">Technically competent</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sz w:val="22"/>
                <w:szCs w:val="22"/>
                <w:lang w:val="en-GB" w:eastAsia="en-GB" w:bidi="en-GB"/>
              </w:rPr>
            </w:pPr>
          </w:p>
        </w:tc>
      </w:tr>
      <w:tr>
        <w:trPr>
          <w:trHeight w:val="1344" w:hRule="atLeast"/>
        </w:trPr>
        <w:tc>
          <w:tcPr>
            <w:tcW w:w="138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2"/>
                <w:szCs w:val="22"/>
                <w:lang w:val="en-GB" w:eastAsia="en-GB" w:bidi="en-GB"/>
              </w:rPr>
            </w:pPr>
          </w:p>
        </w:tc>
        <w:tc>
          <w:tcPr>
            <w:tcW w:w="981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iCs/>
                <w:sz w:val="22"/>
                <w:szCs w:val="22"/>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2"/>
          <w:szCs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2"/>
          <w:szCs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2"/>
          <w:szCs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8"/>
          <w:szCs w:val="18"/>
          <w:lang w:val="en-US" w:eastAsia="en-US" w:bidi="en-US"/>
        </w:rPr>
      </w:pPr>
      <w:r>
        <w:rPr>
          <w:sz w:val="18"/>
          <w:szCs w:val="1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8"/>
          <w:szCs w:val="18"/>
          <w:lang w:val="en-US" w:eastAsia="en-US" w:bidi="en-US"/>
        </w:rPr>
      </w:pPr>
      <w:r>
        <w:rPr>
          <w:sz w:val="18"/>
          <w:szCs w:val="18"/>
          <w:lang w:val="en-US" w:eastAsia="en-US" w:bidi="en-US"/>
        </w:rPr>
        <w:t xml:space="preserve">Signed in agreement of the role description				Date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8"/>
          <w:szCs w:val="18"/>
          <w:lang w:val="en-US" w:eastAsia="en-US" w:bidi="en-US"/>
        </w:rPr>
      </w:pPr>
      <w:r>
        <w:rPr>
          <w:sz w:val="18"/>
          <w:szCs w:val="18"/>
          <w:lang w:val="en-US" w:eastAsia="en-US" w:bidi="en-US"/>
        </w:rPr>
        <w:t xml:space="preserve">and confirmation of acceptance of the responsibilities.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8"/>
          <w:szCs w:val="1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8"/>
          <w:szCs w:val="1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8"/>
          <w:szCs w:val="1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8"/>
          <w:szCs w:val="1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8"/>
          <w:szCs w:val="1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8"/>
          <w:szCs w:val="18"/>
          <w:lang w:val="en-US" w:eastAsia="en-US" w:bidi="en-US"/>
        </w:rPr>
      </w:pPr>
      <w:r>
        <w:rPr>
          <w:sz w:val="18"/>
          <w:szCs w:val="1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8"/>
          <w:szCs w:val="18"/>
          <w:lang w:val="en-US" w:eastAsia="en-US" w:bidi="en-US"/>
        </w:rPr>
      </w:pPr>
      <w:r>
        <w:rPr>
          <w:sz w:val="18"/>
          <w:szCs w:val="18"/>
          <w:lang w:val="en-US" w:eastAsia="en-US" w:bidi="en-US"/>
        </w:rPr>
        <w:t xml:space="preserve">Signed by line manager						Date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18"/>
          <w:lang w:val="en-US" w:eastAsia="en-US" w:bidi="en-US"/>
        </w:rPr>
      </w:pPr>
    </w:p>
    <w:sectPr>
      <w:footerReference w:type="default" r:id="rId00007"/>
      <w:pgSz w:w="12240" w:h="15840"/>
      <w:pgMar w:top="720" w:right="720" w:bottom="720" w:left="720" w:header="720" w:footer="720"/>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Cambria">
    <w:panose1 w:val="02040503050406030204"/>
    <w:charset w:val="00"/>
    <w:family w:val="roman"/>
    <w:pitch w:val="variable"/>
    <w:sig w:usb0="E00006FF" w:usb1="420024FF" w:usb2="02000000" w:usb3="00000000" w:csb0="2000019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Footer"/>
      <w:tabs>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pPr>
  </w:p>
</w:ftr>
</file>

<file path=word/numbering.xml><?xml version="1.0" encoding="utf-8"?>
<w:numbering xmlns:w="http://schemas.openxmlformats.org/wordprocessingml/2006/main">
  <w:abstractNum w:abstractNumId="0">
    <w:multiLevelType w:val="singleLevel"/>
    <w:lvl w:ilvl="0">
      <w:start w:val="1"/>
      <w:numFmt w:val="bullet"/>
      <w:pStyle w:val="Normal + After:  6 p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1">
    <w:multiLevelType w:val="singleLevel"/>
    <w:lvl w:ilvl="0">
      <w:start w:val="1"/>
      <w:numFmt w:val="bullet"/>
      <w:suff w:val="tab"/>
      <w:lvlText w:val=""/>
      <w:pPr>
        <w:ind w:left="360" w:hanging="180"/>
        <w:tabs>
          <w:tab w:val="num" w:pos="360"/>
        </w:tabs>
      </w:pPr>
      <w:rPr>
        <w:rFonts w:hint="default" w:ascii="Symbol" w:hAnsi="Symbol" w:eastAsia="Symbol" w:cs="Symbol"/>
        <w:b w:val="off"/>
        <w:i w:val="off"/>
        <w:strike w:val="off"/>
        <w:color w:val="auto"/>
        <w:position w:val="0"/>
        <w:sz w:val="22"/>
        <w:u w:val="none"/>
        <w:shd w:val="clear" w:color="auto" w:fill="auto"/>
      </w:rPr>
    </w:lvl>
  </w:abstractNum>
  <w:abstractNum w:abstractNumId="2">
    <w:multiLevelType w:val="singleLevel"/>
    <w:lvl w:ilvl="0">
      <w:start w:val="1"/>
      <w:numFmt w:val="bullet"/>
      <w:suff w:val="tab"/>
      <w:lvlText w:val=""/>
      <w:pPr>
        <w:ind w:left="360" w:hanging="360"/>
        <w:tabs>
          <w:tab w:val="num" w:pos="360"/>
        </w:tabs>
      </w:pPr>
      <w:rPr>
        <w:rFonts w:hint="default" w:ascii="Calibri" w:hAnsi="Calibri" w:eastAsia="Calibri" w:cs="Calibri"/>
        <w:b w:val="off"/>
        <w:i w:val="off"/>
        <w:strike w:val="off"/>
        <w:color w:val="auto"/>
        <w:position w:val="0"/>
        <w:sz w:val="22"/>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Calibri" w:hAnsi="Calibri" w:eastAsia="Calibri" w:cs="Calibri"/>
        <w:b w:val="off"/>
        <w:i w:val="off"/>
        <w:strike w:val="off"/>
        <w:color w:val="auto"/>
        <w:position w:val="0"/>
        <w:sz w:val="22"/>
        <w:u w:val="none"/>
        <w:shd w:val="clear" w:color="auto" w:fill="auto"/>
      </w:rPr>
    </w:lvl>
  </w:abstractNum>
  <w:abstractNum w:abstractNumId="4">
    <w:multiLevelType w:val="singleLevel"/>
    <w:lvl w:ilvl="0">
      <w:start w:val="1"/>
      <w:numFmt w:val="bullet"/>
      <w:suff w:val="tab"/>
      <w:lvlText w:val=""/>
      <w:pPr>
        <w:ind w:left="1494" w:hanging="360"/>
        <w:tabs>
          <w:tab w:val="num" w:pos="1494"/>
        </w:tabs>
      </w:pPr>
      <w:rPr>
        <w:rFonts w:hint="default" w:ascii="Calibri" w:hAnsi="Calibri" w:eastAsia="Calibri" w:cs="Calibri"/>
        <w:b w:val="off"/>
        <w:i w:val="off"/>
        <w:strike w:val="off"/>
        <w:color w:val="auto"/>
        <w:position w:val="0"/>
        <w:sz w:val="22"/>
        <w:u w:val="none"/>
        <w:shd w:val="clear" w:color="auto" w:fill="auto"/>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200" w:line="276"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4"/>
      <w:szCs w:val="24"/>
      <w:shd w:val="clear" w:color="auto" w:fill="auto"/>
      <w:vertAlign w:val="baseline"/>
      <w:rtl w:val="off"/>
      <w:lang w:val="x-none" w:eastAsia="x-none" w:bidi="x-none"/>
    </w:rPr>
  </w:style>
  <w:style w:type="paragraph" w:styleId="Footer">
    <w:name w:val="footer"/>
    <w:basedOn w:val="Normal"/>
    <w:next w:val="Footer"/>
    <w:qFormat/>
    <w:pPr>
      <w:tabs>
        <w:tab w:val="center" w:pos="4513"/>
        <w:tab w:val="right" w:pos="9026"/>
      </w:tabs>
      <w:spacing w:after="0" w:line="240" w:lineRule="auto"/>
    </w:pPr>
    <w:rPr/>
  </w:style>
  <w:style w:type="paragraph" w:styleId="Normal + After:  6 pt" w:customStyle="1">
    <w:name w:val="Normal + After:  6 pt"/>
    <w:basedOn w:val="Normal"/>
    <w:next w:val="Normal + After:  6 pt"/>
    <w:qFormat/>
    <w:pPr>
      <w:numPr>
        <w:ilvl w:val="0"/>
        <w:numId w:val="1"/>
      </w:numPr>
      <w:tabs>
        <w:tab w:val="left" w:pos="720"/>
      </w:tabs>
      <w:spacing w:after="0" w:line="240" w:lineRule="auto"/>
      <w:ind w:left="720" w:hanging="360"/>
    </w:pPr>
    <w:rPr>
      <w:rFonts w:ascii="Times New Roman" w:hAnsi="Times New Roman" w:eastAsia="Times New Roman" w:cs="Times New Roman"/>
      <w:lang w:val="en-GB" w:eastAsia="en-GB" w:bidi="en-GB"/>
    </w:rPr>
  </w:style>
  <w:style w:type="paragraph" w:styleId="PlainText">
    <w:name w:val="Plain Text"/>
    <w:basedOn w:val="Normal"/>
    <w:next w:val="PlainText"/>
    <w:qFormat/>
    <w:pPr>
      <w:spacing w:after="0" w:line="240" w:lineRule="auto"/>
    </w:pPr>
    <w:rPr>
      <w:sz w:val="22"/>
      <w:szCs w:val="22"/>
    </w:rPr>
  </w:style>
  <w:style w:type="paragraph" w:styleId="ListParagraph">
    <w:name w:val="List Paragraph"/>
    <w:basedOn w:val="Normal"/>
    <w:next w:val="ListParagraph"/>
    <w:qFormat/>
    <w:pPr>
      <w:spacing w:after="0" w:line="240" w:lineRule="auto"/>
      <w:ind w:left="720"/>
    </w:pPr>
    <w:rPr>
      <w:sz w:val="20"/>
      <w:szCs w:val="20"/>
    </w:rPr>
  </w:style>
  <w:style w:type="paragraph" w:styleId="Heading1">
    <w:name w:val="heading 1"/>
    <w:basedOn w:val="Normal"/>
    <w:next w:val="Heading1"/>
    <w:qFormat/>
    <w:pPr>
      <w:spacing w:after="0" w:line="240" w:lineRule="auto"/>
      <w:outlineLvl w:val="0"/>
    </w:pPr>
    <w:rPr>
      <w:rFonts w:ascii="Times New Roman" w:hAnsi="Times New Roman" w:eastAsia="Times New Roman" w:cs="Times New Roman"/>
    </w:rPr>
  </w:style>
  <w:style w:type="paragraph" w:styleId="Heading2">
    <w:name w:val="heading 2"/>
    <w:basedOn w:val="Normal"/>
    <w:next w:val="Normal"/>
    <w:qFormat/>
    <w:pPr>
      <w:keepNext/>
      <w:keepLines/>
      <w:spacing w:before="200" w:after="0"/>
      <w:outlineLvl w:val="1"/>
    </w:pPr>
    <w:rPr>
      <w:rFonts w:ascii="Cambria" w:hAnsi="Cambria" w:eastAsia="Cambria" w:cs="Cambria"/>
      <w:b/>
      <w:bCs/>
      <w:color w:val="4F81BD"/>
      <w:sz w:val="26"/>
      <w:szCs w:val="26"/>
    </w:rPr>
  </w:style>
  <w:style w:type="paragraph" w:styleId="CommentText">
    <w:name w:val="annotation text"/>
    <w:basedOn w:val="Normal"/>
    <w:next w:val="CommentText"/>
    <w:qFormat/>
    <w:pPr/>
    <w:rPr>
      <w:sz w:val="20"/>
      <w:szCs w:val="20"/>
    </w:rPr>
  </w:style>
  <w:style w:type="paragraph" w:styleId="CommentSubject">
    <w:name w:val="annotation subject"/>
    <w:basedOn w:val="CommentText"/>
    <w:next w:val="CommentText"/>
    <w:qFormat/>
    <w:pPr/>
    <w:rPr>
      <w:b/>
      <w:bCs/>
    </w:rPr>
  </w:style>
  <w:style w:type="paragraph" w:styleId="BalloonText">
    <w:name w:val="Balloon Text"/>
    <w:basedOn w:val="Normal"/>
    <w:next w:val="BalloonText"/>
    <w:qFormat/>
    <w:pPr>
      <w:spacing w:after="0" w:line="240" w:lineRule="auto"/>
    </w:pPr>
    <w:rPr>
      <w:rFonts w:ascii="Tahoma" w:hAnsi="Tahoma" w:eastAsia="Tahoma" w:cs="Tahoma"/>
      <w:sz w:val="16"/>
      <w:szCs w:val="16"/>
    </w:rPr>
  </w:style>
  <w:style w:type="paragraph" w:styleId="NormalWeb">
    <w:name w:val="Normal (Web)"/>
    <w:basedOn w:val="Normal"/>
    <w:next w:val="NormalWeb"/>
    <w:qFormat/>
    <w:pPr>
      <w:spacing w:after="0" w:line="240" w:lineRule="auto"/>
    </w:pPr>
    <w:rPr>
      <w:rFonts w:ascii="Times New Roman" w:hAnsi="Times New Roman" w:eastAsia="Times New Roman" w:cs="Times New Roman"/>
    </w:rPr>
  </w:style>
  <w:style w:type="paragraph" w:styleId="Main text" w:customStyle="1">
    <w:name w:val="Main text"/>
    <w:basedOn w:val="Normal"/>
    <w:next w:val="Main text"/>
    <w:qFormat/>
    <w:pPr>
      <w:spacing w:after="120" w:line="240" w:lineRule="auto"/>
      <w:jc w:val="both"/>
    </w:pPr>
    <w:rPr>
      <w:rFonts w:ascii="Times New Roman" w:hAnsi="Times New Roman" w:eastAsia="Times New Roman" w:cs="Times New Roman"/>
    </w:rPr>
  </w:style>
  <w:style w:type="paragraph" w:styleId="Header">
    <w:name w:val="header"/>
    <w:basedOn w:val="Normal"/>
    <w:next w:val="Header"/>
    <w:qFormat/>
    <w:pPr>
      <w:tabs>
        <w:tab w:val="center" w:pos="4153"/>
        <w:tab w:val="right" w:pos="8306"/>
      </w:tabs>
      <w:spacing w:after="0" w:line="240" w:lineRule="auto"/>
    </w:pPr>
    <w:rPr>
      <w:rFonts w:ascii="Times New Roman" w:hAnsi="Times New Roman" w:eastAsia="Times New Roman" w:cs="Times New Roman"/>
      <w:sz w:val="20"/>
      <w:szCs w:val="20"/>
    </w:rPr>
  </w:style>
  <w:style w:type="character" w:styleId="Footer Char" w:customStyle="1">
    <w:name w:val="Footer Char"/>
    <w:qFormat/>
    <w:rPr>
      <w:rFonts w:ascii="Calibri" w:hAnsi="Calibri" w:eastAsia="Calibri" w:cs="Calibri"/>
      <w:rtl w:val="off"/>
      <w:lang w:val="x-none" w:eastAsia="x-none" w:bidi="x-none"/>
    </w:rPr>
  </w:style>
  <w:style w:type="character" w:styleId="CommentReference">
    <w:name w:val="annotation reference"/>
    <w:qFormat/>
    <w:rPr>
      <w:sz w:val="16"/>
      <w:szCs w:val="16"/>
      <w:rtl w:val="off"/>
      <w:lang w:val="x-none" w:eastAsia="x-none" w:bidi="x-none"/>
    </w:rPr>
  </w:style>
  <w:style w:type="character" w:styleId="Comment Text Char" w:customStyle="1">
    <w:name w:val="Comment Text Char"/>
    <w:qFormat/>
    <w:rPr>
      <w:rtl w:val="off"/>
      <w:lang w:val="x-none" w:eastAsia="x-none" w:bidi="x-none"/>
    </w:rPr>
  </w:style>
  <w:style w:type="character" w:styleId="Comment Subject Char" w:customStyle="1">
    <w:name w:val="Comment Subject Char"/>
    <w:basedOn w:val="Comment Text Char"/>
    <w:qFormat/>
    <w:rPr>
      <w:b/>
      <w:bCs/>
      <w:lang w:val="x-none" w:eastAsia="x-none" w:bidi="x-none"/>
    </w:rPr>
  </w:style>
  <w:style w:type="character" w:styleId="Balloon Text Char" w:customStyle="1">
    <w:name w:val="Balloon Text Char"/>
    <w:qFormat/>
    <w:rPr>
      <w:rFonts w:ascii="Tahoma" w:hAnsi="Tahoma" w:eastAsia="Tahoma" w:cs="Tahoma"/>
      <w:sz w:val="16"/>
      <w:szCs w:val="16"/>
      <w:rtl w:val="off"/>
      <w:lang w:val="x-none" w:eastAsia="x-none" w:bidi="x-none"/>
    </w:rPr>
  </w:style>
  <w:style w:type="character" w:styleId="Heading 1 Char" w:customStyle="1">
    <w:name w:val="Heading 1 Char"/>
    <w:qFormat/>
    <w:rPr>
      <w:rFonts w:ascii="Times New Roman" w:hAnsi="Times New Roman" w:eastAsia="Times New Roman" w:cs="Times New Roman"/>
      <w:sz w:val="24"/>
      <w:szCs w:val="24"/>
      <w:rtl w:val="off"/>
      <w:lang w:val="x-none" w:eastAsia="x-none" w:bidi="x-none"/>
    </w:rPr>
  </w:style>
  <w:style w:type="character" w:styleId="Strong">
    <w:name w:val="Strong"/>
    <w:qFormat/>
    <w:rPr>
      <w:b/>
      <w:bCs/>
      <w:i w:val="off"/>
      <w:iCs w:val="off"/>
      <w:rtl w:val="off"/>
      <w:lang w:val="x-none" w:eastAsia="x-none" w:bidi="x-none"/>
    </w:rPr>
  </w:style>
  <w:style w:type="character" w:styleId="Heading 2 Char" w:customStyle="1">
    <w:name w:val="Heading 2 Char"/>
    <w:qFormat/>
    <w:rPr>
      <w:rFonts w:ascii="Cambria" w:hAnsi="Cambria" w:eastAsia="Cambria" w:cs="Cambria"/>
      <w:b/>
      <w:bCs/>
      <w:color w:val="4F81BD"/>
      <w:sz w:val="26"/>
      <w:szCs w:val="26"/>
      <w:rtl w:val="off"/>
      <w:lang w:val="x-none" w:eastAsia="x-none" w:bidi="x-none"/>
    </w:rPr>
  </w:style>
  <w:style w:type="character" w:styleId="Hyperlink">
    <w:name w:val="Hyperlink"/>
    <w:qFormat/>
    <w:rPr>
      <w:strike w:val="off"/>
      <w:color w:val="777779"/>
      <w:rtl w:val="off"/>
      <w:lang w:val="x-none" w:eastAsia="x-none" w:bidi="x-none"/>
    </w:rPr>
  </w:style>
  <w:style w:type="character" w:styleId="Header Char" w:customStyle="1">
    <w:name w:val="Header Char"/>
    <w:qFormat/>
    <w:rPr>
      <w:rFonts w:ascii="Times New Roman" w:hAnsi="Times New Roman" w:eastAsia="Times New Roman" w:cs="Times New Roman"/>
      <w:rtl w:val="off"/>
      <w:lang w:val="x-none" w:eastAsia="x-none" w:bidi="x-none"/>
    </w:rPr>
  </w:style>
  <w:style w:type="character" w:styleId="Plain Text Char" w:customStyle="1">
    <w:name w:val="Plain Text Char"/>
    <w:qFormat/>
    <w:rPr>
      <w:sz w:val="22"/>
      <w:szCs w:val="22"/>
      <w:rtl w:val="off"/>
      <w:lang w:val="x-none" w:eastAsia="x-none" w:bidi="x-none"/>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4"/>
      <w:szCs w:val="24"/>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footer" Target="footer0001.xml"/>
	<Relationship Id="rId00006" Type="http://schemas.openxmlformats.org/officeDocument/2006/relationships/image" Target="media/image0001.pn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Gibson</dc:creator>
  <dcterms:created xsi:type="dcterms:W3CDTF">2025-06-06T13:42:00Z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6327e6-fc0e-4760-99e5-056f7efd02ce_Name">
    <vt:lpwstr>Company Confidential</vt:lpwstr>
  </property>
  <property fmtid="{D5CDD505-2E9C-101B-9397-08002B2CF9AE}" pid="3" name="MSIP_Label_ef6327e6-fc0e-4760-99e5-056f7efd02ce_SetDate">
    <vt:lpwstr>2024-01-18T08:44:21Z</vt:lpwstr>
  </property>
  <property fmtid="{D5CDD505-2E9C-101B-9397-08002B2CF9AE}" pid="4" name="MSIP_Label_ef6327e6-fc0e-4760-99e5-056f7efd02ce_SiteId">
    <vt:lpwstr>f22a49a4-3b88-46d2-951c-591470e3149b</vt:lpwstr>
  </property>
  <property fmtid="{D5CDD505-2E9C-101B-9397-08002B2CF9AE}" pid="5" name="MSIP_Label_ef6327e6-fc0e-4760-99e5-056f7efd02ce_Method">
    <vt:lpwstr>Standard</vt:lpwstr>
  </property>
  <property fmtid="{D5CDD505-2E9C-101B-9397-08002B2CF9AE}" pid="6" name="MSIP_Label_ef6327e6-fc0e-4760-99e5-056f7efd02ce_ActionId">
    <vt:lpwstr>339512f5-db46-45b8-97a0-927ba00af3bd</vt:lpwstr>
  </property>
  <property fmtid="{D5CDD505-2E9C-101B-9397-08002B2CF9AE}" pid="7" name="MSIP_Label_ef6327e6-fc0e-4760-99e5-056f7efd02ce_ContentBits">
    <vt:lpwstr>2</vt:lpwstr>
  </property>
  <property fmtid="{D5CDD505-2E9C-101B-9397-08002B2CF9AE}" pid="8" name="MSIP_Label_ef6327e6-fc0e-4760-99e5-056f7efd02ce_Enabled">
    <vt:lpwstr>true</vt:lpwstr>
  </property>
</Properties>
</file>