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8" w:type="dxa"/>
          <w:bottom w:w="0" w:type="dxa"/>
          <w:right w:w="108" w:type="dxa"/>
        </w:tblCellMar>
      </w:tblPr>
      <w:tblGrid>
        <w:gridCol w:w="11029"/>
      </w:tblGrid>
      <w:tr>
        <w:trPr>
          <w:trHeight w:val="1205" w:hRule="atLeast"/>
        </w:trPr>
        <w:tc>
          <w:tcPr>
            <w:tcW w:w="11029" w:type="dxa"/>
            <w:shd w:val="clear" w:color="auto" w:fill="001E5A"/>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bCs/>
                <w:color w:val="FFFFFF"/>
                <w:sz w:val="20"/>
                <w:szCs w:val="20"/>
                <w:lang w:val="en-GB" w:eastAsia="en-GB" w:bidi="en-GB"/>
              </w:rPr>
            </w:pPr>
            <w:r>
              <w:drawing>
                <wp:anchor distT="0" distB="0" distL="114300" distR="114300" simplePos="0" relativeHeight="251659263" behindDoc="0" locked="0" layoutInCell="1" hidden="0" allowOverlap="1">
                  <wp:simplePos x="0" y="0"/>
                  <wp:positionH relativeFrom="column">
                    <wp:posOffset>4530725</wp:posOffset>
                  </wp:positionH>
                  <wp:positionV relativeFrom="paragraph">
                    <wp:posOffset>123190</wp:posOffset>
                  </wp:positionV>
                  <wp:extent cx="2286000" cy="502920"/>
                  <wp:wrapSquare wrapText="bothSides"/>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286000" cy="50292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2"/>
                <w:szCs w:val="22"/>
                <w:lang w:val="en-GB" w:eastAsia="en-GB" w:bidi="en-GB"/>
              </w:rPr>
            </w:pPr>
            <w:r>
              <w:rPr>
                <w:b/>
                <w:bCs/>
                <w:color w:val="FFFFFF"/>
                <w:sz w:val="32"/>
                <w:szCs w:val="32"/>
                <w:lang w:val="en-GB" w:eastAsia="en-GB" w:bidi="en-GB"/>
              </w:rPr>
              <w:t xml:space="preserve">Secure Trust Bank                                                                             </w:t>
              <w:br w:type="textWrapping"/>
            </w:r>
            <w:r>
              <w:rPr>
                <w:b/>
                <w:bCs/>
                <w:color w:val="FFFFFF"/>
                <w:sz w:val="32"/>
                <w:szCs w:val="32"/>
                <w:lang w:val="en-GB" w:eastAsia="en-GB" w:bidi="en-GB"/>
              </w:rPr>
              <w:t xml:space="preserve">Finance Business Partner – Commercial Finance</w:t>
            </w:r>
            <w:r>
              <w:rPr>
                <w:color w:val="FFFFFF"/>
                <w:sz w:val="22"/>
                <w:szCs w:val="22"/>
                <w:lang w:val="en-GB" w:eastAsia="en-GB" w:bidi="en-GB"/>
              </w:rPr>
              <w:t xml:space="preserve"> </w:t>
            </w:r>
          </w:p>
        </w:tc>
      </w:tr>
      <w:tr>
        <w:trPr>
          <w:trHeight w:val="1431" w:hRule="atLeast"/>
        </w:trPr>
        <w:tc>
          <w:tcPr>
            <w:tcW w:w="110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sz w:val="22"/>
                <w:szCs w:val="22"/>
                <w:lang w:val="en-GB" w:eastAsia="en-GB" w:bidi="en-GB"/>
              </w:rPr>
            </w:pPr>
            <w:r>
              <w:rPr>
                <w:b/>
                <w:bCs/>
                <w:sz w:val="22"/>
                <w:szCs w:val="22"/>
                <w:lang w:val="en-GB" w:eastAsia="en-GB" w:bidi="en-GB"/>
              </w:rPr>
              <w:t xml:space="preserve">Job Level</w:t>
            </w:r>
            <w:r>
              <w:rPr>
                <w:sz w:val="22"/>
                <w:szCs w:val="22"/>
                <w:lang w:val="en-GB" w:eastAsia="en-GB" w:bidi="en-GB"/>
              </w:rPr>
              <w:t xml:space="preserve">: Level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b/>
                <w:bCs/>
                <w:sz w:val="22"/>
                <w:szCs w:val="22"/>
                <w:lang w:val="en-GB" w:eastAsia="en-GB" w:bidi="en-GB"/>
              </w:rPr>
            </w:pPr>
            <w:r>
              <w:rPr>
                <w:b/>
                <w:bCs/>
                <w:sz w:val="22"/>
                <w:szCs w:val="22"/>
                <w:lang w:val="en-GB" w:eastAsia="en-GB" w:bidi="en-GB"/>
              </w:rPr>
              <w:t xml:space="preserve">Career Path: </w:t>
            </w:r>
            <w:r>
              <w:rPr>
                <w:sz w:val="22"/>
                <w:szCs w:val="22"/>
                <w:lang w:val="en-GB" w:eastAsia="en-GB" w:bidi="en-GB"/>
              </w:rPr>
              <w:t xml:space="preserve">Indiviudal Contributor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b/>
                <w:bCs/>
                <w:sz w:val="22"/>
                <w:szCs w:val="22"/>
                <w:lang w:val="en-GB" w:eastAsia="en-GB" w:bidi="en-GB"/>
              </w:rPr>
            </w:pPr>
            <w:r>
              <w:rPr>
                <w:b/>
                <w:bCs/>
                <w:sz w:val="22"/>
                <w:szCs w:val="22"/>
                <w:lang w:val="en-GB" w:eastAsia="en-GB" w:bidi="en-GB"/>
              </w:rPr>
              <w:t xml:space="preserve">Core Job Title: </w:t>
            </w:r>
            <w:r>
              <w:rPr>
                <w:sz w:val="22"/>
                <w:szCs w:val="22"/>
                <w:lang w:val="en-GB" w:eastAsia="en-GB" w:bidi="en-GB"/>
              </w:rPr>
              <w:t xml:space="preserve">Senior Professional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b/>
                <w:bCs/>
                <w:sz w:val="22"/>
                <w:szCs w:val="22"/>
                <w:lang w:val="en-GB" w:eastAsia="en-GB" w:bidi="en-GB"/>
              </w:rPr>
            </w:pPr>
            <w:r>
              <w:rPr>
                <w:b/>
                <w:bCs/>
                <w:sz w:val="22"/>
                <w:szCs w:val="22"/>
                <w:lang w:val="en-GB" w:eastAsia="en-GB" w:bidi="en-GB"/>
              </w:rPr>
              <w:t xml:space="preserve">Reporting</w:t>
            </w:r>
            <w:r>
              <w:rPr>
                <w:sz w:val="22"/>
                <w:szCs w:val="22"/>
                <w:lang w:val="en-GB" w:eastAsia="en-GB" w:bidi="en-GB"/>
              </w:rPr>
              <w:t xml:space="preserve"> </w:t>
            </w:r>
            <w:r>
              <w:rPr>
                <w:b/>
                <w:bCs/>
                <w:sz w:val="22"/>
                <w:szCs w:val="22"/>
                <w:lang w:val="en-GB" w:eastAsia="en-GB" w:bidi="en-GB"/>
              </w:rPr>
              <w:t xml:space="preserve">To</w:t>
            </w:r>
            <w:r>
              <w:rPr>
                <w:sz w:val="22"/>
                <w:szCs w:val="22"/>
                <w:lang w:val="en-GB" w:eastAsia="en-GB" w:bidi="en-GB"/>
              </w:rPr>
              <w:t xml:space="preserve">: Head of Business Partners</w:t>
            </w:r>
          </w:p>
          <w:p>
            <w:pPr>
              <w:pStyle w:val="Normal"/>
              <w:tabs>
                <w:tab w:val="left" w:pos="9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line="240" w:lineRule="auto"/>
              <w:rPr>
                <w:sz w:val="22"/>
                <w:szCs w:val="22"/>
                <w:lang w:val="en-GB" w:eastAsia="en-GB" w:bidi="en-GB"/>
              </w:rPr>
            </w:pPr>
            <w:r>
              <w:rPr>
                <w:b/>
                <w:bCs/>
                <w:sz w:val="22"/>
                <w:szCs w:val="22"/>
                <w:lang w:val="en-GB" w:eastAsia="en-GB" w:bidi="en-GB"/>
              </w:rPr>
              <w:t xml:space="preserve">Certified Role:</w:t>
            </w:r>
            <w:r>
              <w:rPr>
                <w:sz w:val="22"/>
                <w:szCs w:val="22"/>
                <w:lang w:val="en-GB" w:eastAsia="en-GB" w:bidi="en-GB"/>
              </w:rPr>
              <w:t xml:space="preserve">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sz w:val="22"/>
                <w:szCs w:val="22"/>
                <w:lang w:val="en-GB" w:eastAsia="en-GB" w:bidi="en-GB"/>
              </w:rPr>
            </w:pPr>
            <w:r>
              <w:rPr>
                <w:b/>
                <w:bCs/>
                <w:sz w:val="22"/>
                <w:szCs w:val="22"/>
                <w:lang w:val="en-GB" w:eastAsia="en-GB" w:bidi="en-GB"/>
              </w:rPr>
              <w:t xml:space="preserve">Location</w:t>
            </w:r>
            <w:r>
              <w:rPr>
                <w:sz w:val="22"/>
                <w:szCs w:val="22"/>
                <w:lang w:val="en-GB" w:eastAsia="en-GB" w:bidi="en-GB"/>
              </w:rPr>
              <w:t xml:space="preserve">:  Flexible</w:t>
            </w:r>
          </w:p>
        </w:tc>
      </w:tr>
      <w:tr>
        <w:trPr>
          <w:trHeight w:val="1431" w:hRule="atLeast"/>
        </w:trPr>
        <w:tc>
          <w:tcPr>
            <w:tcW w:w="11029"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rPr>
                <w:sz w:val="22"/>
                <w:szCs w:val="22"/>
                <w:lang w:val="en-US" w:eastAsia="en-US" w:bidi="en-US"/>
              </w:rPr>
            </w:pPr>
            <w:r>
              <w:rPr>
                <w:sz w:val="22"/>
                <w:szCs w:val="22"/>
                <w:lang w:val="en-US" w:eastAsia="en-US" w:bidi="en-US"/>
              </w:rPr>
              <w:t xml:space="preserve">Secure Trust Bank is an established, well-funded, and capitalised UK retail bank providing savings accounts and lending services to over a million customers. In 2022, the Group celebrated 70 years of helping consumers and businesses fulfil their ambitions.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 w:line="240" w:lineRule="auto"/>
              <w:rPr>
                <w:sz w:val="22"/>
                <w:szCs w:val="22"/>
                <w:lang w:val="en-US" w:eastAsia="en-US" w:bidi="en-US"/>
              </w:rPr>
            </w:pPr>
            <w:r>
              <w:rPr>
                <w:sz w:val="22"/>
                <w:szCs w:val="22"/>
                <w:lang w:val="en-US" w:eastAsia="en-US" w:bidi="en-US"/>
              </w:rPr>
              <w:t xml:space="preserve">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in order to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sz w:val="22"/>
                <w:szCs w:val="22"/>
                <w:lang w:val="en-GB" w:eastAsia="en-GB" w:bidi="en-GB"/>
              </w:rPr>
            </w:pP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1"/>
        <w:gridCol w:w="9648"/>
      </w:tblGrid>
      <w:tr>
        <w:trPr>
          <w:trHeight w:val="443" w:hRule="atLeast"/>
        </w:trPr>
        <w:tc>
          <w:tcPr>
            <w:tcW w:w="1381"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r>
              <w:rPr>
                <w:b/>
                <w:bCs/>
                <w:sz w:val="22"/>
                <w:szCs w:val="22"/>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tc>
        <w:tc>
          <w:tcPr>
            <w:tcW w:w="9648"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Job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bCs/>
                <w:i/>
                <w:iCs/>
                <w:sz w:val="22"/>
                <w:szCs w:val="22"/>
                <w:lang w:val="en-GB" w:eastAsia="en-GB" w:bidi="en-GB"/>
              </w:rPr>
            </w:pPr>
            <w:r>
              <w:rPr>
                <w:sz w:val="22"/>
                <w:szCs w:val="22"/>
                <w:lang w:val="en-GB" w:eastAsia="en-GB" w:bidi="en-GB"/>
              </w:rPr>
              <w:t xml:space="preserve">Business Partner for Commercial Finance. The role is responsible </w:t>
            </w:r>
            <w:r>
              <w:rPr>
                <w:sz w:val="22"/>
                <w:szCs w:val="22"/>
                <w:shd w:val="clear" w:color="auto" w:fill="FFFFFF"/>
                <w:lang w:val="en-GB" w:eastAsia="en-GB" w:bidi="en-GB"/>
              </w:rPr>
              <w:t xml:space="preserve">for supporting the provision of insightful analysis, accurate forecasting and business case financial appraisal for Commercial Finance.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color w:val="FF0000"/>
                <w:sz w:val="22"/>
                <w:szCs w:val="22"/>
                <w:lang w:val="en-GB" w:eastAsia="en-GB" w:bidi="en-GB"/>
              </w:rPr>
            </w:pPr>
            <w:r>
              <w:rPr>
                <w:b/>
                <w:bCs/>
                <w:i/>
                <w:iCs/>
                <w:sz w:val="22"/>
                <w:szCs w:val="22"/>
                <w:lang w:val="en-GB" w:eastAsia="en-GB" w:bidi="en-GB"/>
              </w:rPr>
              <w:t xml:space="preserve">Key Responsibilities </w:t>
            </w:r>
          </w:p>
          <w:p>
            <w:pPr>
              <w:pStyle w:val="ListParagraph"/>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284"/>
              <w:rPr>
                <w:sz w:val="22"/>
                <w:szCs w:val="22"/>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Responsible for the Group’s budgeting and forecasting processes for Commercial Finance , ensuring cross division and function alignment with strategic goals and efficient allocation of resources.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Responsible for all non-customer related management information to the Commercial Finance Divisional MD and management team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US" w:eastAsia="en-US" w:bidi="en-US"/>
              </w:rPr>
              <w:t xml:space="preserve">Drive the analysis and insight reporting to improve business and financial outcomes, ensuring that the business receives appropriate support and challenge; </w:t>
            </w:r>
            <w:r>
              <w:rPr>
                <w:sz w:val="22"/>
                <w:szCs w:val="22"/>
                <w:lang w:val="en-GB" w:eastAsia="en-GB" w:bidi="en-GB"/>
              </w:rPr>
              <w:t xml:space="preserve">and provide oversight over the financial results.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Support in the evaluation of the financial outcomes (both pre and post) for projects presented at the Investment Committee.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US" w:eastAsia="en-US" w:bidi="en-US"/>
              </w:rPr>
            </w:pPr>
            <w:r>
              <w:rPr>
                <w:sz w:val="22"/>
                <w:szCs w:val="22"/>
                <w:lang w:val="en-US" w:eastAsia="en-US" w:bidi="en-US"/>
              </w:rPr>
              <w:t xml:space="preserve">Act as contacts for external audit queries and issues.</w:t>
            </w:r>
          </w:p>
          <w:p>
            <w:pPr>
              <w:pStyle w:val="ListParagraph"/>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284"/>
              <w:rPr>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Key Interfaces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60" w:hanging="360"/>
              <w:rPr>
                <w:b/>
                <w:bCs/>
                <w:sz w:val="22"/>
                <w:szCs w:val="22"/>
                <w:lang w:val="en-GB" w:eastAsia="en-GB" w:bidi="en-GB"/>
              </w:rPr>
            </w:pPr>
            <w:r>
              <w:rPr>
                <w:sz w:val="22"/>
                <w:szCs w:val="22"/>
                <w:lang w:val="en-GB" w:eastAsia="en-GB" w:bidi="en-GB"/>
              </w:rPr>
              <w:t xml:space="preserve">Commercial Finance Divisional MD and management team </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lang w:val="en-GB" w:eastAsia="en-GB" w:bidi="en-GB"/>
              </w:rPr>
            </w:pPr>
          </w:p>
        </w:tc>
      </w:tr>
      <w:tr>
        <w:trPr>
          <w:trHeight w:val="1431" w:hRule="atLeast"/>
        </w:trPr>
        <w:tc>
          <w:tcPr>
            <w:tcW w:w="13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r>
              <w:rPr>
                <w:b/>
                <w:bCs/>
                <w:sz w:val="22"/>
                <w:szCs w:val="22"/>
                <w:lang w:val="en-GB" w:eastAsia="en-GB" w:bidi="en-GB"/>
              </w:rPr>
              <w:t xml:space="preserve">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tc>
        <w:tc>
          <w:tcPr>
            <w:tcW w:w="964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Skills/Knowledge/Experience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Significant experience in Business Partnering in Financial Services (preferably with working capital finance - Invoice Discounting/Factoring experience);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Ability to develop the understanding of the business drivers behind financial performance;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Expertise in communicating analytical conclusions through effective reporting and analysis;</w:t>
            </w:r>
          </w:p>
          <w:p>
            <w:pPr>
              <w:pStyle w:val="NormalWeb"/>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color w:val="0C0C0C"/>
                <w:sz w:val="22"/>
                <w:szCs w:val="22"/>
                <w:lang w:val="en-GB" w:eastAsia="en-GB" w:bidi="en-GB"/>
              </w:rPr>
            </w:pPr>
            <w:r>
              <w:rPr>
                <w:rFonts w:ascii="Calibri" w:hAnsi="Calibri" w:eastAsia="Calibri" w:cs="Calibri"/>
                <w:color w:val="0C0C0C"/>
                <w:sz w:val="22"/>
                <w:szCs w:val="22"/>
                <w:lang w:val="en-GB" w:eastAsia="en-GB" w:bidi="en-GB"/>
              </w:rPr>
              <w:t xml:space="preserve">Advanced Excel Skills, preferable to have TM1, Power BI and SQL knowledge;</w:t>
            </w:r>
          </w:p>
          <w:p>
            <w:pPr>
              <w:pStyle w:val="NormalWeb"/>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color w:val="0C0C0C"/>
                <w:sz w:val="22"/>
                <w:szCs w:val="22"/>
                <w:lang w:val="en-GB" w:eastAsia="en-GB" w:bidi="en-GB"/>
              </w:rPr>
            </w:pPr>
            <w:r>
              <w:rPr>
                <w:rFonts w:ascii="Calibri" w:hAnsi="Calibri" w:eastAsia="Calibri" w:cs="Calibri"/>
                <w:color w:val="0C0C0C"/>
                <w:sz w:val="22"/>
                <w:szCs w:val="22"/>
                <w:lang w:val="en-GB" w:eastAsia="en-GB" w:bidi="en-GB"/>
              </w:rPr>
              <w:t xml:space="preserve">A strong commercial acumen;</w:t>
            </w:r>
          </w:p>
          <w:p>
            <w:pPr>
              <w:pStyle w:val="NormalWeb"/>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color w:val="0C0C0C"/>
                <w:sz w:val="22"/>
                <w:szCs w:val="22"/>
                <w:lang w:val="en-GB" w:eastAsia="en-GB" w:bidi="en-GB"/>
              </w:rPr>
            </w:pPr>
            <w:r>
              <w:rPr>
                <w:rFonts w:ascii="Calibri" w:hAnsi="Calibri" w:eastAsia="Calibri" w:cs="Calibri"/>
                <w:color w:val="0C0C0C"/>
                <w:sz w:val="22"/>
                <w:szCs w:val="22"/>
                <w:lang w:val="en-GB" w:eastAsia="en-GB" w:bidi="en-GB"/>
              </w:rPr>
              <w:t xml:space="preserve">Ability to work under pressure, applying judgement to balance analytical rigour with expediency to meet deadlines;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Qualifications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Accounting qualification: ACA, ACCA or CIMA, and 2-5 years post qualification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Competencies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GB" w:eastAsia="en-GB" w:bidi="en-GB"/>
              </w:rPr>
            </w:pPr>
            <w:r>
              <w:rPr>
                <w:sz w:val="22"/>
                <w:szCs w:val="22"/>
                <w:lang w:val="en-GB" w:eastAsia="en-GB" w:bidi="en-GB"/>
              </w:rPr>
              <w:t xml:space="preserve">Risk Aware – We keep our customers and us safe and secure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GB" w:eastAsia="en-GB" w:bidi="en-GB"/>
              </w:rPr>
            </w:pPr>
            <w:r>
              <w:rPr>
                <w:sz w:val="22"/>
                <w:szCs w:val="22"/>
                <w:lang w:val="en-GB" w:eastAsia="en-GB" w:bidi="en-GB"/>
              </w:rPr>
              <w:t xml:space="preserve">Customer focused – Our customers are at the heart of everything we do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GB" w:eastAsia="en-GB" w:bidi="en-GB"/>
              </w:rPr>
            </w:pPr>
            <w:r>
              <w:rPr>
                <w:sz w:val="22"/>
                <w:szCs w:val="22"/>
                <w:lang w:val="en-GB" w:eastAsia="en-GB" w:bidi="en-GB"/>
              </w:rPr>
              <w:t xml:space="preserve">Ownership – We need to take personal responsibility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GB" w:eastAsia="en-GB" w:bidi="en-GB"/>
              </w:rPr>
            </w:pPr>
            <w:r>
              <w:rPr>
                <w:sz w:val="22"/>
                <w:szCs w:val="22"/>
                <w:lang w:val="en-GB" w:eastAsia="en-GB" w:bidi="en-GB"/>
              </w:rPr>
              <w:t xml:space="preserve">Performance Driven – To become the most trusted specialist lender in the UK we need to each take personal accountability for our performance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GB" w:eastAsia="en-GB" w:bidi="en-GB"/>
              </w:rPr>
            </w:pPr>
            <w:r>
              <w:rPr>
                <w:sz w:val="22"/>
                <w:szCs w:val="22"/>
                <w:lang w:val="en-GB" w:eastAsia="en-GB" w:bidi="en-GB"/>
              </w:rPr>
              <w:t xml:space="preserve">Teamwork – We achieve more when we work well together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2"/>
                <w:szCs w:val="22"/>
                <w:lang w:val="en-GB" w:eastAsia="en-GB" w:bidi="en-GB"/>
              </w:rPr>
            </w:pPr>
            <w:r>
              <w:rPr>
                <w:sz w:val="22"/>
                <w:szCs w:val="22"/>
                <w:lang w:val="en-GB" w:eastAsia="en-GB" w:bidi="en-GB"/>
              </w:rPr>
              <w:t xml:space="preserve">Future Oriented - Embracing change and implementing good ideas gives us the competitive edge</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sectPr>
      <w:footerReference w:type="default" r:id="rId00007"/>
      <w:pgSz w:w="12240" w:h="15840"/>
      <w:pgMar w:top="426" w:right="1800" w:bottom="568" w:left="1800" w:header="720" w:footer="72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right" w:pos="8640"/>
        <w:tab w:val="clear" w:pos="9026"/>
      </w:tabs>
      <w:rPr>
        <w:sz w:val="18"/>
        <w:szCs w:val="18"/>
        <w:lang w:val="en-US" w:eastAsia="en-US" w:bidi="en-US"/>
      </w:rPr>
    </w:pPr>
    <w:r>
      <w:pict>
        <v:shape id="Text Box 3" coordsize="21600,21600" o:spt="202" path="m,l,21600r21600,l21600,xe" fillcolor="#FFFFFF" stroked="f" strokeweight="0" style="width:110.1pt;height:29.3pt;position:absolute;margin-left:501.9pt;margin-top:762.7pt;z-index:251659264;mso-wrap-distance-right:0;mso-wrap-distance-left:0;mso-position-horizontal-relative:page;mso-position-vertical-relative:page;">
          <v:fill opacity="0"/>
          <v:stroke joinstyle="miter"/>
          <v:path gradientshapeok="t" o:connecttype="rect"/>
          <v:textbox inset="0pt,0pt,20pt,15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FF0000"/>
                    <w:sz w:val="20"/>
                    <w:szCs w:val="20"/>
                    <w:lang w:val="en-US" w:eastAsia="en-US" w:bidi="en-US"/>
                  </w:rPr>
                </w:pPr>
                <w:r>
                  <w:rPr>
                    <w:color w:val="FF0000"/>
                    <w:sz w:val="20"/>
                    <w:szCs w:val="20"/>
                    <w:lang w:val="en-US" w:eastAsia="en-US" w:bidi="en-US"/>
                  </w:rPr>
                  <w:t xml:space="preserve">Company Confidential</w:t>
                </w:r>
              </w:p>
            </w:txbxContent>
          </v:textbox>
          <w10:wrap type="none"/>
        </v:shape>
      </w:pict>
    </w:r>
    <w:r>
      <w:rPr>
        <w:sz w:val="18"/>
        <w:szCs w:val="18"/>
        <w:lang w:val="en-US" w:eastAsia="en-US" w:bidi="en-US"/>
      </w:rPr>
      <w:t xml:space="preserve">Role Profile Finance Business Partner, Commercial Finance Page </w:t>
    </w:r>
    <w:r>
      <w:rPr>
        <w:b/>
        <w:bCs/>
        <w:noProof/>
        <w:sz w:val="18"/>
        <w:szCs w:val="18"/>
        <w:lang w:val="en-US" w:eastAsia="en-US" w:bidi="en-US"/>
      </w:rPr>
      <w:fldChar w:fldCharType="begin"/>
    </w:r>
    <w:r>
      <w:rPr>
        <w:b/>
        <w:bCs/>
        <w:noProof/>
        <w:sz w:val="18"/>
        <w:szCs w:val="18"/>
        <w:lang w:val="en-US" w:eastAsia="en-US" w:bidi="en-US"/>
      </w:rPr>
      <w:instrText xml:space="preserve"> PAGE \* Arabic \* MERGEFORMAT </w:instrText>
    </w:r>
    <w:r>
      <w:rPr>
        <w:b/>
        <w:bCs/>
        <w:noProof/>
        <w:sz w:val="18"/>
        <w:szCs w:val="18"/>
        <w:lang w:val="en-US" w:eastAsia="en-US" w:bidi="en-US"/>
      </w:rPr>
      <w:fldChar w:fldCharType="separate"/>
    </w:r>
    <w:r>
      <w:rPr>
        <w:b/>
        <w:bCs/>
        <w:noProof/>
        <w:sz w:val="18"/>
        <w:szCs w:val="18"/>
        <w:lang w:val="en-US" w:eastAsia="en-US" w:bidi="en-US"/>
      </w:rPr>
      <w:t xml:space="preserve">1</w:t>
    </w:r>
    <w:r>
      <w:rPr>
        <w:sz w:val="18"/>
        <w:szCs w:val="18"/>
        <w:lang w:val="en-US" w:eastAsia="en-US" w:bidi="en-US"/>
      </w:rPr>
      <w:fldChar w:fldCharType="end"/>
    </w:r>
    <w:r>
      <w:rPr>
        <w:sz w:val="18"/>
        <w:szCs w:val="18"/>
        <w:lang w:val="en-US" w:eastAsia="en-US" w:bidi="en-US"/>
      </w:rPr>
      <w:t xml:space="preserve"> of </w:t>
    </w:r>
    <w:r>
      <w:rPr>
        <w:b/>
        <w:bCs/>
        <w:noProof/>
        <w:sz w:val="18"/>
        <w:szCs w:val="18"/>
        <w:lang w:val="en-US" w:eastAsia="en-US" w:bidi="en-US"/>
      </w:rPr>
      <w:fldChar w:fldCharType="begin"/>
    </w:r>
    <w:r>
      <w:rPr>
        <w:b/>
        <w:bCs/>
        <w:noProof/>
        <w:sz w:val="18"/>
        <w:szCs w:val="18"/>
        <w:lang w:val="en-US" w:eastAsia="en-US" w:bidi="en-US"/>
      </w:rPr>
      <w:instrText xml:space="preserve"> NUMPAGES \* Arabic \* MERGEFORMAT </w:instrText>
    </w:r>
    <w:r>
      <w:rPr>
        <w:b/>
        <w:bCs/>
        <w:noProof/>
        <w:sz w:val="18"/>
        <w:szCs w:val="18"/>
        <w:lang w:val="en-US" w:eastAsia="en-US" w:bidi="en-US"/>
      </w:rPr>
      <w:fldChar w:fldCharType="separate"/>
    </w:r>
    <w:r>
      <w:rPr>
        <w:b/>
        <w:bCs/>
        <w:noProof/>
        <w:sz w:val="18"/>
        <w:szCs w:val="18"/>
        <w:lang w:val="en-US" w:eastAsia="en-US" w:bidi="en-US"/>
      </w:rPr>
      <w:t xml:space="preserve">2</w:t>
    </w:r>
    <w:r>
      <w:rPr>
        <w:sz w:val="18"/>
        <w:szCs w:val="18"/>
        <w:lang w:val="en-US" w:eastAsia="en-US" w:bidi="en-US"/>
      </w:rPr>
      <w:fldChar w:fldCharType="end"/>
    </w:r>
    <w:r>
      <w:rPr>
        <w:sz w:val="18"/>
        <w:szCs w:val="18"/>
        <w:lang w:val="en-US" w:eastAsia="en-US" w:bidi="en-US"/>
      </w:rPr>
      <w:t xml:space="preserve">2024 – v1</w:t>
    </w:r>
  </w:p>
</w:ft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C0C0C"/>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4"/>
      <w:szCs w:val="24"/>
      <w:shd w:val="clear" w:color="auto" w:fill="auto"/>
      <w:vertAlign w:val="baseline"/>
      <w:rtl w:val="off"/>
      <w:lang w:val="en-US" w:eastAsia="en-US" w:bidi="en-US"/>
    </w:rPr>
  </w:style>
  <w:style w:type="paragraph" w:styleId="Footer">
    <w:name w:val="footer"/>
    <w:basedOn w:val="Normal"/>
    <w:next w:val="Footer"/>
    <w:qFormat/>
    <w:pPr>
      <w:tabs>
        <w:tab w:val="center" w:pos="4513"/>
        <w:tab w:val="right" w:pos="9026"/>
      </w:tabs>
      <w:spacing w:after="0" w:line="240" w:lineRule="auto"/>
    </w:pPr>
    <w:rPr>
      <w:lang w:val="en-US" w:eastAsia="en-US" w:bidi="en-US"/>
    </w:rPr>
  </w:style>
  <w:style w:type="paragraph" w:styleId="Heading1">
    <w:name w:val="heading 1"/>
    <w:basedOn w:val="Normal"/>
    <w:next w:val="Heading1"/>
    <w:qFormat/>
    <w:pPr>
      <w:spacing w:after="0" w:line="240" w:lineRule="auto"/>
      <w:outlineLvl w:val="0"/>
    </w:pPr>
    <w:rPr>
      <w:rFonts w:ascii="Times New Roman" w:hAnsi="Times New Roman" w:eastAsia="Times New Roman" w:cs="Times New Roman"/>
      <w:lang w:val="en-GB" w:eastAsia="en-GB" w:bidi="en-GB"/>
    </w:rPr>
  </w:style>
  <w:style w:type="paragraph" w:styleId="Heading2">
    <w:name w:val="heading 2"/>
    <w:basedOn w:val="Normal"/>
    <w:next w:val="Normal"/>
    <w:qFormat/>
    <w:pPr>
      <w:keepNext/>
      <w:keepLines/>
      <w:spacing w:before="200" w:after="0"/>
      <w:outlineLvl w:val="1"/>
    </w:pPr>
    <w:rPr>
      <w:rFonts w:ascii="Cambria" w:hAnsi="Cambria" w:eastAsia="Cambria" w:cs="Cambria"/>
      <w:b/>
      <w:bCs/>
      <w:color w:val="4F81BD"/>
      <w:sz w:val="26"/>
      <w:szCs w:val="26"/>
      <w:lang w:val="en-US" w:eastAsia="en-US" w:bidi="en-US"/>
    </w:rPr>
  </w:style>
  <w:style w:type="paragraph" w:styleId="ListParagraph">
    <w:name w:val="List Paragraph"/>
    <w:basedOn w:val="Normal"/>
    <w:next w:val="ListParagraph"/>
    <w:qFormat/>
    <w:pPr>
      <w:spacing w:after="0" w:line="240" w:lineRule="auto"/>
      <w:ind w:left="720"/>
    </w:pPr>
    <w:rPr>
      <w:sz w:val="20"/>
      <w:szCs w:val="20"/>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Comment Text Char" w:customStyle="1">
    <w:name w:val="Comment Text Char"/>
    <w:qFormat/>
    <w:rPr>
      <w:rtl w:val="off"/>
      <w:lang w:val="en-US" w:eastAsia="en-US" w:bidi="en-US"/>
    </w:rPr>
  </w:style>
  <w:style w:type="character" w:styleId="Comment Subject Char" w:customStyle="1">
    <w:name w:val="Comment Subject Char"/>
    <w:basedOn w:val="Comment Text Char"/>
    <w:qFormat/>
    <w:rPr>
      <w:b/>
      <w:bCs/>
      <w:lang w:val="en-US" w:eastAsia="en-US" w:bidi="en-US"/>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US" w:eastAsia="en-US" w:bidi="en-US"/>
    </w:rPr>
  </w:style>
  <w:style w:type="character" w:styleId="Balloon Text Char" w:customStyle="1">
    <w:name w:val="Balloon Text Char"/>
    <w:qFormat/>
    <w:rPr>
      <w:rFonts w:ascii="Tahoma" w:hAnsi="Tahoma" w:eastAsia="Tahoma" w:cs="Tahoma"/>
      <w:sz w:val="16"/>
      <w:szCs w:val="16"/>
      <w:rtl w:val="off"/>
      <w:lang w:val="en-US" w:eastAsia="en-US" w:bidi="en-US"/>
    </w:rPr>
  </w:style>
  <w:style w:type="character" w:styleId="Heading 1 Char" w:customStyle="1">
    <w:name w:val="Heading 1 Char"/>
    <w:qFormat/>
    <w:rPr>
      <w:rFonts w:ascii="Times New Roman" w:hAnsi="Times New Roman" w:eastAsia="Times New Roman" w:cs="Times New Roman"/>
      <w:sz w:val="24"/>
      <w:szCs w:val="24"/>
      <w:rtl w:val="off"/>
    </w:rPr>
  </w:style>
  <w:style w:type="character" w:styleId="Strong">
    <w:name w:val="Strong"/>
    <w:qFormat/>
    <w:rPr>
      <w:b/>
      <w:bCs/>
      <w:i w:val="off"/>
      <w:iCs w:val="off"/>
      <w:rtl w:val="off"/>
    </w:rPr>
  </w:style>
  <w:style w:type="paragraph" w:styleId="NormalWeb">
    <w:name w:val="Normal (Web)"/>
    <w:basedOn w:val="Normal"/>
    <w:next w:val="NormalWeb"/>
    <w:qFormat/>
    <w:pPr>
      <w:spacing w:after="0" w:line="240" w:lineRule="auto"/>
    </w:pPr>
    <w:rPr>
      <w:rFonts w:ascii="Times New Roman" w:hAnsi="Times New Roman" w:eastAsia="Times New Roman" w:cs="Times New Roman"/>
      <w:lang w:val="en-GB" w:eastAsia="en-GB" w:bidi="en-GB"/>
    </w:rPr>
  </w:style>
  <w:style w:type="character" w:styleId="Heading 2 Char" w:customStyle="1">
    <w:name w:val="Heading 2 Char"/>
    <w:qFormat/>
    <w:rPr>
      <w:rFonts w:ascii="Cambria" w:hAnsi="Cambria" w:eastAsia="Cambria" w:cs="Cambria"/>
      <w:b/>
      <w:bCs/>
      <w:color w:val="4F81BD"/>
      <w:sz w:val="26"/>
      <w:szCs w:val="26"/>
      <w:rtl w:val="off"/>
      <w:lang w:val="en-US" w:eastAsia="en-US" w:bidi="en-US"/>
    </w:rPr>
  </w:style>
  <w:style w:type="paragraph" w:styleId="Main text" w:customStyle="1">
    <w:name w:val="Main text"/>
    <w:basedOn w:val="Normal"/>
    <w:next w:val="Main text"/>
    <w:qFormat/>
    <w:pPr>
      <w:spacing w:after="120" w:line="240" w:lineRule="auto"/>
      <w:jc w:val="both"/>
    </w:pPr>
    <w:rPr>
      <w:rFonts w:ascii="Times New Roman" w:hAnsi="Times New Roman" w:eastAsia="Times New Roman" w:cs="Times New Roman"/>
      <w:lang w:val="en-GB" w:eastAsia="en-GB" w:bidi="en-GB"/>
    </w:rPr>
  </w:style>
  <w:style w:type="character" w:styleId="Hyperlink">
    <w:name w:val="Hyperlink"/>
    <w:qFormat/>
    <w:rPr>
      <w:strike w:val="off"/>
      <w:color w:val="777779"/>
      <w:rtl w:val="off"/>
    </w:rPr>
  </w:style>
  <w:style w:type="paragraph" w:styleId="Header">
    <w:name w:val="header"/>
    <w:basedOn w:val="Normal"/>
    <w:next w:val="Header"/>
    <w:qFormat/>
    <w:pPr>
      <w:tabs>
        <w:tab w:val="center" w:pos="4153"/>
        <w:tab w:val="right" w:pos="8306"/>
      </w:tabs>
      <w:spacing w:after="0" w:line="240" w:lineRule="auto"/>
    </w:pPr>
    <w:rPr>
      <w:rFonts w:ascii="Times New Roman" w:hAnsi="Times New Roman" w:eastAsia="Times New Roman" w:cs="Times New Roman"/>
      <w:sz w:val="20"/>
      <w:szCs w:val="20"/>
      <w:lang w:val="en-GB" w:eastAsia="en-GB" w:bidi="en-GB"/>
    </w:rPr>
  </w:style>
  <w:style w:type="character" w:styleId="Header Char" w:customStyle="1">
    <w:name w:val="Header Char"/>
    <w:qFormat/>
    <w:rPr>
      <w:rFonts w:ascii="Times New Roman" w:hAnsi="Times New Roman" w:eastAsia="Times New Roman" w:cs="Times New Roman"/>
      <w:rtl w:val="off"/>
      <w:lang w:val="en-GB" w:eastAsia="en-GB" w:bidi="en-GB"/>
    </w:rPr>
  </w:style>
  <w:style w:type="character" w:styleId="Footer Char" w:customStyle="1">
    <w:name w:val="Footer Char"/>
    <w:qFormat/>
    <w:rPr>
      <w:sz w:val="24"/>
      <w:szCs w:val="24"/>
      <w:rtl w:val="off"/>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pn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dcterms:created xsi:type="dcterms:W3CDTF">2025-08-18T18:30:00Z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6327e6-fc0e-4760-99e5-056f7efd02ce_ContentBits">
    <vt:lpwstr>2</vt:lpwstr>
  </property>
  <property fmtid="{D5CDD505-2E9C-101B-9397-08002B2CF9AE}" pid="3" name="MSIP_Label_ef6327e6-fc0e-4760-99e5-056f7efd02ce_Name">
    <vt:lpwstr>Company Confidential</vt:lpwstr>
  </property>
  <property fmtid="{D5CDD505-2E9C-101B-9397-08002B2CF9AE}" pid="4" name="ContentTypeId">
    <vt:lpwstr>0x0101007FA7B4ACD69DA94C974C0C56B3FFE237</vt:lpwstr>
  </property>
  <property fmtid="{D5CDD505-2E9C-101B-9397-08002B2CF9AE}" pid="5" name="ClassificationContentMarkingFooterShapeIds">
    <vt:lpwstr>5362ade0,3bde820f,1da7eca3</vt:lpwstr>
  </property>
  <property fmtid="{D5CDD505-2E9C-101B-9397-08002B2CF9AE}" pid="6" name="ClassificationContentMarkingFooterText">
    <vt:lpwstr>Company Confidential</vt:lpwstr>
  </property>
  <property fmtid="{D5CDD505-2E9C-101B-9397-08002B2CF9AE}" pid="7" name="MSIP_Label_ef6327e6-fc0e-4760-99e5-056f7efd02ce_SetDate">
    <vt:lpwstr>2024-07-01T10:14:21Z</vt:lpwstr>
  </property>
  <property fmtid="{D5CDD505-2E9C-101B-9397-08002B2CF9AE}" pid="8" name="MSIP_Label_ef6327e6-fc0e-4760-99e5-056f7efd02ce_SiteId">
    <vt:lpwstr>f22a49a4-3b88-46d2-951c-591470e3149b</vt:lpwstr>
  </property>
  <property fmtid="{D5CDD505-2E9C-101B-9397-08002B2CF9AE}" pid="9" name="ClassificationContentMarkingFooterFontProps">
    <vt:lpwstr>#ff0000,10,Calibri</vt:lpwstr>
  </property>
  <property fmtid="{D5CDD505-2E9C-101B-9397-08002B2CF9AE}" pid="10" name="Order">
    <vt:r8>21100</vt:r8>
  </property>
  <property fmtid="{D5CDD505-2E9C-101B-9397-08002B2CF9AE}" pid="11" name="MSIP_Label_ef6327e6-fc0e-4760-99e5-056f7efd02ce_Enabled">
    <vt:lpwstr>true</vt:lpwstr>
  </property>
  <property fmtid="{D5CDD505-2E9C-101B-9397-08002B2CF9AE}" pid="12" name="MSIP_Label_ef6327e6-fc0e-4760-99e5-056f7efd02ce_Method">
    <vt:lpwstr>Standard</vt:lpwstr>
  </property>
  <property fmtid="{D5CDD505-2E9C-101B-9397-08002B2CF9AE}" pid="13" name="MSIP_Label_ef6327e6-fc0e-4760-99e5-056f7efd02ce_ActionId">
    <vt:lpwstr>ba5b9b54-34d5-4bd1-afa8-9973b858fd93</vt:lpwstr>
  </property>
</Properties>
</file>